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0F69" w:rsidRPr="00F0105E" w:rsidRDefault="00270F69" w:rsidP="00973DAB">
      <w:pPr>
        <w:spacing w:after="0" w:line="360" w:lineRule="auto"/>
        <w:jc w:val="both"/>
        <w:rPr>
          <w:rFonts w:ascii="Times New Roman" w:hAnsi="Times New Roman" w:cs="Times New Roman"/>
          <w:b/>
          <w:sz w:val="24"/>
          <w:szCs w:val="24"/>
        </w:rPr>
      </w:pPr>
    </w:p>
    <w:p w:rsidR="00980B4A" w:rsidRPr="00F0105E" w:rsidRDefault="0075707C" w:rsidP="00980B4A">
      <w:pPr>
        <w:spacing w:after="0" w:line="360" w:lineRule="auto"/>
        <w:rPr>
          <w:rFonts w:ascii="Times New Roman" w:hAnsi="Times New Roman" w:cs="Times New Roman"/>
          <w:b/>
          <w:sz w:val="24"/>
          <w:szCs w:val="24"/>
        </w:rPr>
      </w:pPr>
      <w:r>
        <w:rPr>
          <w:rFonts w:ascii="Times New Roman" w:hAnsi="Times New Roman" w:cs="Times New Roman"/>
          <w:b/>
          <w:sz w:val="24"/>
          <w:szCs w:val="24"/>
        </w:rPr>
        <w:t>Parecer Jurídico nº 01</w:t>
      </w:r>
      <w:r w:rsidR="002042E5">
        <w:rPr>
          <w:rFonts w:ascii="Times New Roman" w:hAnsi="Times New Roman" w:cs="Times New Roman"/>
          <w:b/>
          <w:sz w:val="24"/>
          <w:szCs w:val="24"/>
        </w:rPr>
        <w:t>6</w:t>
      </w:r>
      <w:r w:rsidR="00A601BB">
        <w:rPr>
          <w:rFonts w:ascii="Times New Roman" w:hAnsi="Times New Roman" w:cs="Times New Roman"/>
          <w:b/>
          <w:sz w:val="24"/>
          <w:szCs w:val="24"/>
        </w:rPr>
        <w:t>/202</w:t>
      </w:r>
      <w:r w:rsidR="002042E5">
        <w:rPr>
          <w:rFonts w:ascii="Times New Roman" w:hAnsi="Times New Roman" w:cs="Times New Roman"/>
          <w:b/>
          <w:sz w:val="24"/>
          <w:szCs w:val="24"/>
        </w:rPr>
        <w:t>5</w:t>
      </w:r>
    </w:p>
    <w:p w:rsidR="00980B4A" w:rsidRPr="00F0105E" w:rsidRDefault="00980B4A" w:rsidP="00980B4A">
      <w:pPr>
        <w:spacing w:after="0" w:line="360" w:lineRule="auto"/>
        <w:rPr>
          <w:rFonts w:ascii="Times New Roman" w:hAnsi="Times New Roman" w:cs="Times New Roman"/>
          <w:b/>
          <w:sz w:val="24"/>
          <w:szCs w:val="24"/>
        </w:rPr>
      </w:pPr>
      <w:r w:rsidRPr="00F0105E">
        <w:rPr>
          <w:rFonts w:ascii="Times New Roman" w:hAnsi="Times New Roman" w:cs="Times New Roman"/>
          <w:b/>
          <w:sz w:val="24"/>
          <w:szCs w:val="24"/>
        </w:rPr>
        <w:t>R</w:t>
      </w:r>
      <w:r w:rsidR="00A601BB">
        <w:rPr>
          <w:rFonts w:ascii="Times New Roman" w:hAnsi="Times New Roman" w:cs="Times New Roman"/>
          <w:b/>
          <w:sz w:val="24"/>
          <w:szCs w:val="24"/>
        </w:rPr>
        <w:t>eferência: Projeto de Lei nº 01</w:t>
      </w:r>
      <w:r w:rsidR="002042E5">
        <w:rPr>
          <w:rFonts w:ascii="Times New Roman" w:hAnsi="Times New Roman" w:cs="Times New Roman"/>
          <w:b/>
          <w:sz w:val="24"/>
          <w:szCs w:val="24"/>
        </w:rPr>
        <w:t>0</w:t>
      </w:r>
      <w:r w:rsidR="00A601BB">
        <w:rPr>
          <w:rFonts w:ascii="Times New Roman" w:hAnsi="Times New Roman" w:cs="Times New Roman"/>
          <w:b/>
          <w:sz w:val="24"/>
          <w:szCs w:val="24"/>
        </w:rPr>
        <w:t>/202</w:t>
      </w:r>
      <w:r w:rsidR="002042E5">
        <w:rPr>
          <w:rFonts w:ascii="Times New Roman" w:hAnsi="Times New Roman" w:cs="Times New Roman"/>
          <w:b/>
          <w:sz w:val="24"/>
          <w:szCs w:val="24"/>
        </w:rPr>
        <w:t>5</w:t>
      </w:r>
    </w:p>
    <w:p w:rsidR="00980B4A" w:rsidRPr="00F0105E" w:rsidRDefault="00980B4A" w:rsidP="00980B4A">
      <w:pPr>
        <w:spacing w:after="0" w:line="360" w:lineRule="auto"/>
        <w:rPr>
          <w:rFonts w:ascii="Times New Roman" w:hAnsi="Times New Roman" w:cs="Times New Roman"/>
          <w:b/>
          <w:sz w:val="24"/>
          <w:szCs w:val="24"/>
        </w:rPr>
      </w:pPr>
      <w:r w:rsidRPr="00F0105E">
        <w:rPr>
          <w:rFonts w:ascii="Times New Roman" w:hAnsi="Times New Roman" w:cs="Times New Roman"/>
          <w:b/>
          <w:sz w:val="24"/>
          <w:szCs w:val="24"/>
        </w:rPr>
        <w:t>Autoria: Executivo Municipal</w:t>
      </w:r>
    </w:p>
    <w:p w:rsidR="0075707C" w:rsidRPr="002042E5" w:rsidRDefault="00980B4A" w:rsidP="002042E5">
      <w:pPr>
        <w:spacing w:after="0" w:line="360" w:lineRule="auto"/>
        <w:jc w:val="both"/>
        <w:rPr>
          <w:rFonts w:ascii="Times New Roman" w:hAnsi="Times New Roman" w:cs="Times New Roman"/>
          <w:b/>
          <w:sz w:val="24"/>
          <w:szCs w:val="24"/>
        </w:rPr>
      </w:pPr>
      <w:r w:rsidRPr="002042E5">
        <w:rPr>
          <w:rFonts w:ascii="Times New Roman" w:hAnsi="Times New Roman" w:cs="Times New Roman"/>
          <w:b/>
          <w:sz w:val="24"/>
          <w:szCs w:val="24"/>
        </w:rPr>
        <w:t xml:space="preserve">Ementa: </w:t>
      </w:r>
      <w:r w:rsidR="002042E5" w:rsidRPr="002042E5">
        <w:rPr>
          <w:rFonts w:ascii="Times New Roman" w:hAnsi="Times New Roman" w:cs="Times New Roman"/>
          <w:b/>
          <w:sz w:val="24"/>
          <w:szCs w:val="24"/>
        </w:rPr>
        <w:t>AUTORIZA O PODER EXECUTIVO MUNICIPAL A CONCEDER A REVISÃO GERAL ANUAL E AUMENTO AOS SERVIDORES PÚBLICOS MUNICIPAIS ATIVOS, INATIVOS E PENSIONISTAS DA ADMINISTRAÇAO DIRETA E INDIRETA, DO LEGISLATIVO E DÁ OUTRAS PROVIDÊNCIAS.</w:t>
      </w:r>
    </w:p>
    <w:p w:rsidR="00F0105E" w:rsidRDefault="00F0105E" w:rsidP="00980B4A">
      <w:pPr>
        <w:spacing w:after="0" w:line="360" w:lineRule="auto"/>
        <w:ind w:firstLine="1701"/>
        <w:jc w:val="both"/>
        <w:rPr>
          <w:rFonts w:ascii="Times New Roman" w:hAnsi="Times New Roman" w:cs="Times New Roman"/>
          <w:sz w:val="24"/>
          <w:szCs w:val="24"/>
        </w:rPr>
      </w:pPr>
    </w:p>
    <w:p w:rsidR="004D7147" w:rsidRDefault="004D7147" w:rsidP="00980B4A">
      <w:pPr>
        <w:spacing w:after="0" w:line="360" w:lineRule="auto"/>
        <w:ind w:firstLine="1701"/>
        <w:jc w:val="both"/>
        <w:rPr>
          <w:rFonts w:ascii="Times New Roman" w:hAnsi="Times New Roman" w:cs="Times New Roman"/>
          <w:sz w:val="24"/>
          <w:szCs w:val="24"/>
        </w:rPr>
      </w:pPr>
    </w:p>
    <w:p w:rsidR="003968A8" w:rsidRDefault="003968A8" w:rsidP="00980B4A">
      <w:pPr>
        <w:spacing w:after="0" w:line="360" w:lineRule="auto"/>
        <w:ind w:firstLine="1701"/>
        <w:jc w:val="both"/>
        <w:rPr>
          <w:rFonts w:ascii="Times New Roman" w:hAnsi="Times New Roman" w:cs="Times New Roman"/>
          <w:sz w:val="24"/>
          <w:szCs w:val="24"/>
        </w:rPr>
      </w:pPr>
    </w:p>
    <w:p w:rsidR="003968A8" w:rsidRDefault="003968A8" w:rsidP="00980B4A">
      <w:pPr>
        <w:spacing w:after="0" w:line="360" w:lineRule="auto"/>
        <w:ind w:firstLine="1701"/>
        <w:jc w:val="both"/>
        <w:rPr>
          <w:rFonts w:ascii="Times New Roman" w:hAnsi="Times New Roman" w:cs="Times New Roman"/>
          <w:sz w:val="24"/>
          <w:szCs w:val="24"/>
        </w:rPr>
      </w:pPr>
    </w:p>
    <w:p w:rsidR="004D7147" w:rsidRPr="00980B4A" w:rsidRDefault="004D7147" w:rsidP="00980B4A">
      <w:pPr>
        <w:spacing w:after="0" w:line="360" w:lineRule="auto"/>
        <w:ind w:firstLine="1701"/>
        <w:jc w:val="both"/>
        <w:rPr>
          <w:rFonts w:ascii="Times New Roman" w:hAnsi="Times New Roman" w:cs="Times New Roman"/>
          <w:sz w:val="24"/>
          <w:szCs w:val="24"/>
        </w:rPr>
      </w:pPr>
    </w:p>
    <w:p w:rsidR="00980B4A" w:rsidRPr="00980B4A" w:rsidRDefault="00980B4A" w:rsidP="00980B4A">
      <w:pPr>
        <w:pStyle w:val="PargrafodaLista"/>
        <w:numPr>
          <w:ilvl w:val="0"/>
          <w:numId w:val="2"/>
        </w:numPr>
        <w:spacing w:after="0" w:line="360" w:lineRule="auto"/>
        <w:jc w:val="both"/>
        <w:rPr>
          <w:rFonts w:ascii="Times New Roman" w:hAnsi="Times New Roman" w:cs="Times New Roman"/>
          <w:b/>
          <w:sz w:val="24"/>
          <w:szCs w:val="24"/>
        </w:rPr>
      </w:pPr>
      <w:r w:rsidRPr="00980B4A">
        <w:rPr>
          <w:rFonts w:ascii="Times New Roman" w:hAnsi="Times New Roman" w:cs="Times New Roman"/>
          <w:b/>
          <w:sz w:val="24"/>
          <w:szCs w:val="24"/>
        </w:rPr>
        <w:t>RELATÓRIO</w:t>
      </w:r>
    </w:p>
    <w:p w:rsidR="002042E5" w:rsidRDefault="00980B4A" w:rsidP="00980B4A">
      <w:pPr>
        <w:spacing w:after="0" w:line="360" w:lineRule="auto"/>
        <w:ind w:firstLine="1701"/>
        <w:jc w:val="both"/>
        <w:rPr>
          <w:rFonts w:ascii="Times New Roman" w:hAnsi="Times New Roman" w:cs="Times New Roman"/>
          <w:sz w:val="24"/>
          <w:szCs w:val="24"/>
        </w:rPr>
      </w:pPr>
      <w:r w:rsidRPr="00980B4A">
        <w:rPr>
          <w:rFonts w:ascii="Times New Roman" w:hAnsi="Times New Roman" w:cs="Times New Roman"/>
          <w:sz w:val="24"/>
          <w:szCs w:val="24"/>
        </w:rPr>
        <w:t xml:space="preserve">Foi encaminhado à Assessoria Jurídica desta Casa de Leis para emissão de </w:t>
      </w:r>
      <w:r w:rsidR="00A601BB">
        <w:rPr>
          <w:rFonts w:ascii="Times New Roman" w:hAnsi="Times New Roman" w:cs="Times New Roman"/>
          <w:sz w:val="24"/>
          <w:szCs w:val="24"/>
        </w:rPr>
        <w:t>parecer, o Projeto de Lei nº 01</w:t>
      </w:r>
      <w:r w:rsidR="002042E5">
        <w:rPr>
          <w:rFonts w:ascii="Times New Roman" w:hAnsi="Times New Roman" w:cs="Times New Roman"/>
          <w:sz w:val="24"/>
          <w:szCs w:val="24"/>
        </w:rPr>
        <w:t>0</w:t>
      </w:r>
      <w:r w:rsidR="00A601BB">
        <w:rPr>
          <w:rFonts w:ascii="Times New Roman" w:hAnsi="Times New Roman" w:cs="Times New Roman"/>
          <w:sz w:val="24"/>
          <w:szCs w:val="24"/>
        </w:rPr>
        <w:t>/202</w:t>
      </w:r>
      <w:r w:rsidR="002042E5">
        <w:rPr>
          <w:rFonts w:ascii="Times New Roman" w:hAnsi="Times New Roman" w:cs="Times New Roman"/>
          <w:sz w:val="24"/>
          <w:szCs w:val="24"/>
        </w:rPr>
        <w:t>5</w:t>
      </w:r>
      <w:r w:rsidRPr="00980B4A">
        <w:rPr>
          <w:rFonts w:ascii="Times New Roman" w:hAnsi="Times New Roman" w:cs="Times New Roman"/>
          <w:sz w:val="24"/>
          <w:szCs w:val="24"/>
        </w:rPr>
        <w:t>, de autoria do Executivo Municipal, que têm por escopo</w:t>
      </w:r>
      <w:r w:rsidR="00C92808">
        <w:rPr>
          <w:rFonts w:ascii="Times New Roman" w:hAnsi="Times New Roman" w:cs="Times New Roman"/>
          <w:sz w:val="24"/>
          <w:szCs w:val="24"/>
        </w:rPr>
        <w:t xml:space="preserve"> autorizar o Poder Executivo Municipal a </w:t>
      </w:r>
      <w:r w:rsidR="00382C4C">
        <w:rPr>
          <w:rFonts w:ascii="Times New Roman" w:hAnsi="Times New Roman" w:cs="Times New Roman"/>
          <w:sz w:val="24"/>
          <w:szCs w:val="24"/>
        </w:rPr>
        <w:t>conceder reajuste geral anual dos servidores mu</w:t>
      </w:r>
      <w:r w:rsidR="00A601BB">
        <w:rPr>
          <w:rFonts w:ascii="Times New Roman" w:hAnsi="Times New Roman" w:cs="Times New Roman"/>
          <w:sz w:val="24"/>
          <w:szCs w:val="24"/>
        </w:rPr>
        <w:t>nicipais</w:t>
      </w:r>
      <w:r w:rsidR="002042E5">
        <w:rPr>
          <w:rFonts w:ascii="Times New Roman" w:hAnsi="Times New Roman" w:cs="Times New Roman"/>
          <w:sz w:val="24"/>
          <w:szCs w:val="24"/>
        </w:rPr>
        <w:t xml:space="preserve"> ativos, inativos e pensionistas da administração direta e indireta, e do legislativo </w:t>
      </w:r>
      <w:r w:rsidR="00A601BB">
        <w:rPr>
          <w:rFonts w:ascii="Times New Roman" w:hAnsi="Times New Roman" w:cs="Times New Roman"/>
          <w:sz w:val="24"/>
          <w:szCs w:val="24"/>
        </w:rPr>
        <w:t xml:space="preserve">, no percentual de </w:t>
      </w:r>
      <w:r w:rsidR="002042E5">
        <w:rPr>
          <w:rFonts w:ascii="Times New Roman" w:hAnsi="Times New Roman" w:cs="Times New Roman"/>
          <w:sz w:val="24"/>
          <w:szCs w:val="24"/>
        </w:rPr>
        <w:t>4</w:t>
      </w:r>
      <w:r w:rsidR="00A601BB">
        <w:rPr>
          <w:rFonts w:ascii="Times New Roman" w:hAnsi="Times New Roman" w:cs="Times New Roman"/>
          <w:sz w:val="24"/>
          <w:szCs w:val="24"/>
        </w:rPr>
        <w:t>,</w:t>
      </w:r>
      <w:r w:rsidR="002042E5">
        <w:rPr>
          <w:rFonts w:ascii="Times New Roman" w:hAnsi="Times New Roman" w:cs="Times New Roman"/>
          <w:sz w:val="24"/>
          <w:szCs w:val="24"/>
        </w:rPr>
        <w:t>17</w:t>
      </w:r>
      <w:r w:rsidR="00147843">
        <w:rPr>
          <w:rFonts w:ascii="Times New Roman" w:hAnsi="Times New Roman" w:cs="Times New Roman"/>
          <w:sz w:val="24"/>
          <w:szCs w:val="24"/>
        </w:rPr>
        <w:t>%</w:t>
      </w:r>
      <w:r w:rsidR="00A601BB">
        <w:rPr>
          <w:rFonts w:ascii="Times New Roman" w:hAnsi="Times New Roman" w:cs="Times New Roman"/>
          <w:sz w:val="24"/>
          <w:szCs w:val="24"/>
        </w:rPr>
        <w:t xml:space="preserve"> (</w:t>
      </w:r>
      <w:r w:rsidR="002042E5">
        <w:rPr>
          <w:rFonts w:ascii="Times New Roman" w:hAnsi="Times New Roman" w:cs="Times New Roman"/>
          <w:sz w:val="24"/>
          <w:szCs w:val="24"/>
        </w:rPr>
        <w:t xml:space="preserve">quatro inteiros e dezessete centésimos </w:t>
      </w:r>
      <w:r w:rsidR="00382C4C">
        <w:rPr>
          <w:rFonts w:ascii="Times New Roman" w:hAnsi="Times New Roman" w:cs="Times New Roman"/>
          <w:sz w:val="24"/>
          <w:szCs w:val="24"/>
        </w:rPr>
        <w:t>por cento) correspondente ao Índice de Pr</w:t>
      </w:r>
      <w:r w:rsidR="00A601BB">
        <w:rPr>
          <w:rFonts w:ascii="Times New Roman" w:hAnsi="Times New Roman" w:cs="Times New Roman"/>
          <w:sz w:val="24"/>
          <w:szCs w:val="24"/>
        </w:rPr>
        <w:t xml:space="preserve">eços ao Consumidor (IPCA) acumulado </w:t>
      </w:r>
      <w:r w:rsidR="002042E5">
        <w:rPr>
          <w:rFonts w:ascii="Times New Roman" w:hAnsi="Times New Roman" w:cs="Times New Roman"/>
          <w:sz w:val="24"/>
          <w:szCs w:val="24"/>
        </w:rPr>
        <w:t xml:space="preserve">dos últimos 12 (doze) meses. </w:t>
      </w:r>
    </w:p>
    <w:p w:rsidR="002042E5" w:rsidRDefault="002042E5" w:rsidP="00980B4A">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 O projeto prevê aumento real no importe de 1,83% (um inteiro e oitenta e três centésimos por cento), aos Servidores Municipais do Poder Executivo.</w:t>
      </w:r>
    </w:p>
    <w:p w:rsidR="00382C4C" w:rsidRDefault="00382C4C" w:rsidP="00980B4A">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Nos termos do projeto, o reajuste ora concedido abrange os servidores municipais efetivos, comissionados e conselheiros, excetuando-se os </w:t>
      </w:r>
      <w:r w:rsidR="002E5BCB">
        <w:rPr>
          <w:rFonts w:ascii="Times New Roman" w:hAnsi="Times New Roman" w:cs="Times New Roman"/>
          <w:sz w:val="24"/>
          <w:szCs w:val="24"/>
        </w:rPr>
        <w:t>Agentes Comunitários de Saúde e Agentes de Combate de Endemias.</w:t>
      </w:r>
    </w:p>
    <w:p w:rsidR="00980B4A" w:rsidRDefault="00980B4A" w:rsidP="00980B4A">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É o sucinto relatório.</w:t>
      </w:r>
    </w:p>
    <w:p w:rsidR="00980B4A" w:rsidRDefault="00980B4A" w:rsidP="00980B4A">
      <w:pPr>
        <w:tabs>
          <w:tab w:val="left" w:pos="567"/>
        </w:tabs>
        <w:spacing w:after="0" w:line="360" w:lineRule="auto"/>
        <w:ind w:firstLine="1701"/>
        <w:jc w:val="both"/>
        <w:rPr>
          <w:rFonts w:ascii="Times New Roman" w:hAnsi="Times New Roman" w:cs="Times New Roman"/>
          <w:sz w:val="24"/>
          <w:szCs w:val="24"/>
        </w:rPr>
      </w:pPr>
    </w:p>
    <w:p w:rsidR="00980B4A" w:rsidRPr="00980B4A" w:rsidRDefault="00980B4A" w:rsidP="00980B4A">
      <w:pPr>
        <w:pStyle w:val="PargrafodaLista"/>
        <w:numPr>
          <w:ilvl w:val="0"/>
          <w:numId w:val="2"/>
        </w:numPr>
        <w:spacing w:after="0" w:line="360" w:lineRule="auto"/>
        <w:jc w:val="both"/>
        <w:rPr>
          <w:rFonts w:ascii="Times New Roman" w:hAnsi="Times New Roman" w:cs="Times New Roman"/>
          <w:b/>
          <w:sz w:val="24"/>
          <w:szCs w:val="24"/>
        </w:rPr>
      </w:pPr>
      <w:r w:rsidRPr="00980B4A">
        <w:rPr>
          <w:rFonts w:ascii="Times New Roman" w:hAnsi="Times New Roman" w:cs="Times New Roman"/>
          <w:b/>
          <w:sz w:val="24"/>
          <w:szCs w:val="24"/>
        </w:rPr>
        <w:t>COMPETÊNCIA E TRAMITAÇÃO</w:t>
      </w:r>
    </w:p>
    <w:p w:rsidR="00980B4A" w:rsidRPr="004D7147" w:rsidRDefault="003968A8" w:rsidP="00980B4A">
      <w:pPr>
        <w:spacing w:after="0" w:line="360" w:lineRule="auto"/>
        <w:ind w:firstLine="1701"/>
        <w:jc w:val="both"/>
        <w:rPr>
          <w:rFonts w:ascii="Times New Roman" w:hAnsi="Times New Roman" w:cs="Times New Roman"/>
          <w:b/>
          <w:sz w:val="24"/>
          <w:szCs w:val="24"/>
        </w:rPr>
      </w:pPr>
      <w:r>
        <w:rPr>
          <w:rFonts w:ascii="Times New Roman" w:hAnsi="Times New Roman" w:cs="Times New Roman"/>
          <w:sz w:val="24"/>
          <w:szCs w:val="24"/>
        </w:rPr>
        <w:t>Nos termos do artigo 10, I, “q</w:t>
      </w:r>
      <w:r w:rsidR="004D7147">
        <w:rPr>
          <w:rFonts w:ascii="Times New Roman" w:hAnsi="Times New Roman" w:cs="Times New Roman"/>
          <w:sz w:val="24"/>
          <w:szCs w:val="24"/>
        </w:rPr>
        <w:t xml:space="preserve">” </w:t>
      </w:r>
      <w:r w:rsidR="00147843">
        <w:rPr>
          <w:rFonts w:ascii="Times New Roman" w:hAnsi="Times New Roman" w:cs="Times New Roman"/>
          <w:sz w:val="24"/>
          <w:szCs w:val="24"/>
        </w:rPr>
        <w:t xml:space="preserve">da Lei Orgânica Municipal, </w:t>
      </w:r>
      <w:r w:rsidR="00980B4A" w:rsidRPr="004D7147">
        <w:rPr>
          <w:rFonts w:ascii="Times New Roman" w:hAnsi="Times New Roman" w:cs="Times New Roman"/>
          <w:b/>
          <w:sz w:val="24"/>
          <w:szCs w:val="24"/>
        </w:rPr>
        <w:t>compete ao Município legisla</w:t>
      </w:r>
      <w:r w:rsidR="004D7147" w:rsidRPr="004D7147">
        <w:rPr>
          <w:rFonts w:ascii="Times New Roman" w:hAnsi="Times New Roman" w:cs="Times New Roman"/>
          <w:b/>
          <w:sz w:val="24"/>
          <w:szCs w:val="24"/>
        </w:rPr>
        <w:t>r s</w:t>
      </w:r>
      <w:r>
        <w:rPr>
          <w:rFonts w:ascii="Times New Roman" w:hAnsi="Times New Roman" w:cs="Times New Roman"/>
          <w:b/>
          <w:sz w:val="24"/>
          <w:szCs w:val="24"/>
        </w:rPr>
        <w:t>obre remuneração de servidores públicos municipais</w:t>
      </w:r>
      <w:r w:rsidR="006404FA">
        <w:rPr>
          <w:rFonts w:ascii="Times New Roman" w:hAnsi="Times New Roman" w:cs="Times New Roman"/>
          <w:b/>
          <w:sz w:val="24"/>
          <w:szCs w:val="24"/>
        </w:rPr>
        <w:t>.</w:t>
      </w:r>
    </w:p>
    <w:p w:rsidR="00A601BB" w:rsidRPr="00E6105C" w:rsidRDefault="003968A8" w:rsidP="00E6105C">
      <w:pPr>
        <w:spacing w:after="0" w:line="360" w:lineRule="auto"/>
        <w:ind w:firstLine="1701"/>
        <w:jc w:val="both"/>
        <w:rPr>
          <w:rFonts w:ascii="Times New Roman" w:hAnsi="Times New Roman" w:cs="Times New Roman"/>
          <w:b/>
          <w:sz w:val="24"/>
          <w:szCs w:val="24"/>
        </w:rPr>
      </w:pPr>
      <w:r>
        <w:rPr>
          <w:rFonts w:ascii="Times New Roman" w:hAnsi="Times New Roman" w:cs="Times New Roman"/>
          <w:sz w:val="24"/>
          <w:szCs w:val="24"/>
        </w:rPr>
        <w:t>Em observância ao artigo 168, inciso II</w:t>
      </w:r>
      <w:r w:rsidR="00980B4A" w:rsidRPr="00980B4A">
        <w:rPr>
          <w:rFonts w:ascii="Times New Roman" w:hAnsi="Times New Roman" w:cs="Times New Roman"/>
          <w:sz w:val="24"/>
          <w:szCs w:val="24"/>
        </w:rPr>
        <w:t xml:space="preserve">, do Regimento Interno desta Câmara Municipal, </w:t>
      </w:r>
      <w:r w:rsidR="00980B4A" w:rsidRPr="004D7147">
        <w:rPr>
          <w:rFonts w:ascii="Times New Roman" w:hAnsi="Times New Roman" w:cs="Times New Roman"/>
          <w:b/>
          <w:sz w:val="24"/>
          <w:szCs w:val="24"/>
        </w:rPr>
        <w:t>o proj</w:t>
      </w:r>
      <w:r>
        <w:rPr>
          <w:rFonts w:ascii="Times New Roman" w:hAnsi="Times New Roman" w:cs="Times New Roman"/>
          <w:b/>
          <w:sz w:val="24"/>
          <w:szCs w:val="24"/>
        </w:rPr>
        <w:t>eto deverá ser submetido a dois</w:t>
      </w:r>
      <w:r w:rsidR="00980B4A" w:rsidRPr="004D7147">
        <w:rPr>
          <w:rFonts w:ascii="Times New Roman" w:hAnsi="Times New Roman" w:cs="Times New Roman"/>
          <w:b/>
          <w:sz w:val="24"/>
          <w:szCs w:val="24"/>
        </w:rPr>
        <w:t xml:space="preserve"> turno</w:t>
      </w:r>
      <w:r>
        <w:rPr>
          <w:rFonts w:ascii="Times New Roman" w:hAnsi="Times New Roman" w:cs="Times New Roman"/>
          <w:b/>
          <w:sz w:val="24"/>
          <w:szCs w:val="24"/>
        </w:rPr>
        <w:t>s</w:t>
      </w:r>
      <w:r w:rsidR="00980B4A" w:rsidRPr="004D7147">
        <w:rPr>
          <w:rFonts w:ascii="Times New Roman" w:hAnsi="Times New Roman" w:cs="Times New Roman"/>
          <w:b/>
          <w:sz w:val="24"/>
          <w:szCs w:val="24"/>
        </w:rPr>
        <w:t xml:space="preserve"> de discussão e votação.</w:t>
      </w:r>
    </w:p>
    <w:p w:rsidR="003968A8" w:rsidRPr="00980B4A" w:rsidRDefault="003968A8" w:rsidP="00E6105C">
      <w:pPr>
        <w:spacing w:after="0" w:line="360" w:lineRule="auto"/>
        <w:jc w:val="both"/>
        <w:rPr>
          <w:rFonts w:ascii="Times New Roman" w:hAnsi="Times New Roman" w:cs="Times New Roman"/>
          <w:b/>
          <w:sz w:val="24"/>
          <w:szCs w:val="24"/>
        </w:rPr>
      </w:pPr>
    </w:p>
    <w:p w:rsidR="00980B4A" w:rsidRPr="00980B4A" w:rsidRDefault="00980B4A" w:rsidP="00980B4A">
      <w:pPr>
        <w:pStyle w:val="PargrafodaLista"/>
        <w:numPr>
          <w:ilvl w:val="0"/>
          <w:numId w:val="2"/>
        </w:numPr>
        <w:spacing w:after="0" w:line="360" w:lineRule="auto"/>
        <w:jc w:val="both"/>
        <w:rPr>
          <w:rFonts w:ascii="Times New Roman" w:hAnsi="Times New Roman" w:cs="Times New Roman"/>
          <w:b/>
          <w:sz w:val="24"/>
          <w:szCs w:val="24"/>
        </w:rPr>
      </w:pPr>
      <w:r w:rsidRPr="00980B4A">
        <w:rPr>
          <w:rFonts w:ascii="Times New Roman" w:hAnsi="Times New Roman" w:cs="Times New Roman"/>
          <w:b/>
          <w:sz w:val="24"/>
          <w:szCs w:val="24"/>
        </w:rPr>
        <w:t>LEGISLAÇÃO VIGENTE</w:t>
      </w:r>
    </w:p>
    <w:p w:rsidR="003968A8" w:rsidRPr="003968A8" w:rsidRDefault="003968A8" w:rsidP="003968A8">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C</w:t>
      </w:r>
      <w:r w:rsidRPr="003968A8">
        <w:rPr>
          <w:rFonts w:ascii="Times New Roman" w:hAnsi="Times New Roman" w:cs="Times New Roman"/>
          <w:sz w:val="24"/>
          <w:szCs w:val="24"/>
        </w:rPr>
        <w:t>onsoante leitura do artigo 37, da Constituição da República Federativa do Brasil:</w:t>
      </w:r>
    </w:p>
    <w:p w:rsidR="003968A8" w:rsidRPr="003968A8" w:rsidRDefault="003968A8" w:rsidP="003968A8">
      <w:pPr>
        <w:spacing w:after="0" w:line="360" w:lineRule="auto"/>
        <w:ind w:left="3402"/>
        <w:jc w:val="both"/>
        <w:rPr>
          <w:rFonts w:ascii="Times New Roman" w:hAnsi="Times New Roman" w:cs="Times New Roman"/>
          <w:sz w:val="20"/>
          <w:szCs w:val="20"/>
        </w:rPr>
      </w:pPr>
      <w:r w:rsidRPr="003968A8">
        <w:rPr>
          <w:rFonts w:ascii="Times New Roman" w:hAnsi="Times New Roman" w:cs="Times New Roman"/>
          <w:b/>
          <w:sz w:val="20"/>
          <w:szCs w:val="20"/>
        </w:rPr>
        <w:t>Art. 37</w:t>
      </w:r>
      <w:r w:rsidRPr="003968A8">
        <w:rPr>
          <w:rFonts w:ascii="Times New Roman" w:hAnsi="Times New Roman" w:cs="Times New Roman"/>
          <w:sz w:val="20"/>
          <w:szCs w:val="20"/>
        </w:rPr>
        <w:t>. A Administração Pública direta e indireta de qualquer dos Poderes da União, dos Estados, do Distrito Federal e dos Municípios obedecerá aos princípios da legalidade, da impessoalidade, moralidade, publicidade e eficiência e também, ao seguinte:</w:t>
      </w:r>
    </w:p>
    <w:p w:rsidR="003968A8" w:rsidRPr="003968A8" w:rsidRDefault="003968A8" w:rsidP="003968A8">
      <w:pPr>
        <w:spacing w:after="0" w:line="360" w:lineRule="auto"/>
        <w:ind w:left="3402"/>
        <w:jc w:val="both"/>
        <w:rPr>
          <w:rFonts w:ascii="Times New Roman" w:hAnsi="Times New Roman" w:cs="Times New Roman"/>
          <w:b/>
          <w:sz w:val="20"/>
          <w:szCs w:val="20"/>
        </w:rPr>
      </w:pPr>
      <w:r w:rsidRPr="003968A8">
        <w:rPr>
          <w:rFonts w:ascii="Times New Roman" w:hAnsi="Times New Roman" w:cs="Times New Roman"/>
          <w:b/>
          <w:sz w:val="20"/>
          <w:szCs w:val="20"/>
        </w:rPr>
        <w:t>(...)</w:t>
      </w:r>
    </w:p>
    <w:p w:rsidR="003968A8" w:rsidRPr="003968A8" w:rsidRDefault="003968A8" w:rsidP="003968A8">
      <w:pPr>
        <w:spacing w:after="0" w:line="360" w:lineRule="auto"/>
        <w:ind w:left="3402"/>
        <w:jc w:val="both"/>
        <w:rPr>
          <w:rFonts w:ascii="Times New Roman" w:hAnsi="Times New Roman" w:cs="Times New Roman"/>
          <w:sz w:val="20"/>
          <w:szCs w:val="20"/>
        </w:rPr>
      </w:pPr>
      <w:r w:rsidRPr="003968A8">
        <w:rPr>
          <w:rFonts w:ascii="Times New Roman" w:hAnsi="Times New Roman" w:cs="Times New Roman"/>
          <w:b/>
          <w:sz w:val="20"/>
          <w:szCs w:val="20"/>
        </w:rPr>
        <w:t>X -</w:t>
      </w:r>
      <w:r w:rsidRPr="003968A8">
        <w:rPr>
          <w:rFonts w:ascii="Times New Roman" w:hAnsi="Times New Roman" w:cs="Times New Roman"/>
          <w:sz w:val="20"/>
          <w:szCs w:val="20"/>
        </w:rPr>
        <w:t xml:space="preserve"> A remuneração dos servidores públicos e o subsídio de que trata o § 4º do artigo 39 somente poderão ser fixados por lei específica, observada a iniciativa privativa em cada caso, </w:t>
      </w:r>
      <w:r w:rsidRPr="003968A8">
        <w:rPr>
          <w:rFonts w:ascii="Times New Roman" w:hAnsi="Times New Roman" w:cs="Times New Roman"/>
          <w:b/>
          <w:sz w:val="20"/>
          <w:szCs w:val="20"/>
        </w:rPr>
        <w:t>assegurada revisão geral anual, sempre na mesma data e sem distinção de índice.</w:t>
      </w:r>
    </w:p>
    <w:p w:rsidR="003968A8" w:rsidRPr="003968A8" w:rsidRDefault="003968A8" w:rsidP="003968A8">
      <w:pPr>
        <w:spacing w:after="0" w:line="360" w:lineRule="auto"/>
        <w:ind w:firstLine="1701"/>
        <w:jc w:val="both"/>
        <w:rPr>
          <w:rFonts w:ascii="Times New Roman" w:hAnsi="Times New Roman" w:cs="Times New Roman"/>
          <w:sz w:val="24"/>
          <w:szCs w:val="24"/>
        </w:rPr>
      </w:pPr>
    </w:p>
    <w:p w:rsidR="00D777A8" w:rsidRDefault="00D777A8" w:rsidP="00D777A8">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Por se tratar de remuneração de servidores públicos do Poder Executivo, a Lei Orgânica Municipal atribui a iniciativa legislativa ao Prefeito Municipal, senão vejamos:</w:t>
      </w:r>
    </w:p>
    <w:p w:rsidR="00D777A8" w:rsidRDefault="00D777A8" w:rsidP="00D777A8">
      <w:pPr>
        <w:spacing w:after="0" w:line="360" w:lineRule="auto"/>
        <w:ind w:left="3402"/>
        <w:jc w:val="both"/>
        <w:rPr>
          <w:rFonts w:ascii="Times New Roman" w:hAnsi="Times New Roman" w:cs="Times New Roman"/>
          <w:sz w:val="20"/>
          <w:szCs w:val="20"/>
          <w:shd w:val="clear" w:color="auto" w:fill="FFFFFF"/>
        </w:rPr>
      </w:pPr>
      <w:r w:rsidRPr="00D777A8">
        <w:rPr>
          <w:rFonts w:ascii="Times New Roman" w:hAnsi="Times New Roman" w:cs="Times New Roman"/>
          <w:b/>
          <w:sz w:val="20"/>
          <w:szCs w:val="20"/>
          <w:shd w:val="clear" w:color="auto" w:fill="FFFFFF"/>
        </w:rPr>
        <w:t>Art. 32</w:t>
      </w:r>
      <w:r w:rsidRPr="00D777A8">
        <w:rPr>
          <w:rFonts w:ascii="Times New Roman" w:hAnsi="Times New Roman" w:cs="Times New Roman"/>
          <w:sz w:val="20"/>
          <w:szCs w:val="20"/>
          <w:shd w:val="clear" w:color="auto" w:fill="FFFFFF"/>
        </w:rPr>
        <w:t>. Ressalvado o disposto nesta Lei, são de iniciativa privativa do Prefeito Municipal as leis que disponham sobre:</w:t>
      </w:r>
      <w:r w:rsidRPr="00D777A8">
        <w:rPr>
          <w:rFonts w:ascii="Times New Roman" w:hAnsi="Times New Roman" w:cs="Times New Roman"/>
          <w:sz w:val="20"/>
          <w:szCs w:val="20"/>
        </w:rPr>
        <w:br/>
      </w:r>
      <w:r w:rsidRPr="00D777A8">
        <w:rPr>
          <w:rFonts w:ascii="Times New Roman" w:hAnsi="Times New Roman" w:cs="Times New Roman"/>
          <w:sz w:val="20"/>
          <w:szCs w:val="20"/>
          <w:shd w:val="clear" w:color="auto" w:fill="FFFFFF"/>
        </w:rPr>
        <w:t>I - criação de cargos, funções ou empregos públicos na administração direta ou autárquica do Poder Executivo ou aumento de sua remuneração</w:t>
      </w:r>
      <w:r>
        <w:rPr>
          <w:rFonts w:ascii="Times New Roman" w:hAnsi="Times New Roman" w:cs="Times New Roman"/>
          <w:sz w:val="20"/>
          <w:szCs w:val="20"/>
          <w:shd w:val="clear" w:color="auto" w:fill="FFFFFF"/>
        </w:rPr>
        <w:t>;</w:t>
      </w:r>
    </w:p>
    <w:p w:rsidR="00D777A8" w:rsidRDefault="00D777A8" w:rsidP="00D777A8">
      <w:pPr>
        <w:spacing w:after="0" w:line="360" w:lineRule="auto"/>
        <w:ind w:left="3402"/>
        <w:jc w:val="both"/>
        <w:rPr>
          <w:rFonts w:ascii="Times New Roman" w:hAnsi="Times New Roman" w:cs="Times New Roman"/>
          <w:sz w:val="20"/>
          <w:szCs w:val="20"/>
        </w:rPr>
      </w:pPr>
      <w:r>
        <w:rPr>
          <w:rFonts w:ascii="Times New Roman" w:hAnsi="Times New Roman" w:cs="Times New Roman"/>
          <w:b/>
          <w:sz w:val="20"/>
          <w:szCs w:val="20"/>
          <w:shd w:val="clear" w:color="auto" w:fill="FFFFFF"/>
        </w:rPr>
        <w:t>(</w:t>
      </w:r>
      <w:r w:rsidRPr="00D777A8">
        <w:rPr>
          <w:rFonts w:ascii="Times New Roman" w:hAnsi="Times New Roman" w:cs="Times New Roman"/>
          <w:sz w:val="20"/>
          <w:szCs w:val="20"/>
        </w:rPr>
        <w:t>.</w:t>
      </w:r>
      <w:r>
        <w:rPr>
          <w:rFonts w:ascii="Times New Roman" w:hAnsi="Times New Roman" w:cs="Times New Roman"/>
          <w:sz w:val="20"/>
          <w:szCs w:val="20"/>
        </w:rPr>
        <w:t>..)</w:t>
      </w:r>
    </w:p>
    <w:p w:rsidR="00E6105C" w:rsidRPr="00D777A8" w:rsidRDefault="00E6105C" w:rsidP="00D777A8">
      <w:pPr>
        <w:spacing w:after="0" w:line="360" w:lineRule="auto"/>
        <w:ind w:left="3402"/>
        <w:jc w:val="both"/>
        <w:rPr>
          <w:rFonts w:ascii="Times New Roman" w:hAnsi="Times New Roman" w:cs="Times New Roman"/>
          <w:sz w:val="20"/>
          <w:szCs w:val="20"/>
        </w:rPr>
      </w:pPr>
    </w:p>
    <w:p w:rsidR="00AB4D98" w:rsidRDefault="00AB4D98" w:rsidP="007F543B">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O Tribunal de Contas de Mato Grosso atenta para o impacto no aumento das despesas com pessoal, trazido pela concessão da RGA:</w:t>
      </w:r>
    </w:p>
    <w:p w:rsidR="00AB4D98" w:rsidRDefault="00AB4D98" w:rsidP="007F543B">
      <w:pPr>
        <w:spacing w:line="360" w:lineRule="auto"/>
        <w:ind w:left="3402"/>
        <w:jc w:val="both"/>
        <w:rPr>
          <w:rFonts w:ascii="Times New Roman" w:hAnsi="Times New Roman" w:cs="Times New Roman"/>
          <w:sz w:val="20"/>
          <w:szCs w:val="20"/>
        </w:rPr>
      </w:pPr>
      <w:r w:rsidRPr="00AB4D98">
        <w:rPr>
          <w:rFonts w:ascii="Times New Roman" w:hAnsi="Times New Roman" w:cs="Times New Roman"/>
          <w:b/>
          <w:sz w:val="20"/>
          <w:szCs w:val="20"/>
        </w:rPr>
        <w:t>Resolução de Consulta nº 16/2016 – TP (DOC, 24/06/2016). Despesa. Pessoal. Revisão Geral Anual (RGA). Limites da LRF.</w:t>
      </w:r>
      <w:r w:rsidRPr="00AB4D98">
        <w:rPr>
          <w:rFonts w:ascii="Times New Roman" w:hAnsi="Times New Roman" w:cs="Times New Roman"/>
          <w:sz w:val="20"/>
          <w:szCs w:val="20"/>
        </w:rPr>
        <w:t xml:space="preserve"> Regulamentação da RGA no Poder Executivo de Mato Grosso. [Alterada pela Resolução de Consulta nº 7/2020–TP] </w:t>
      </w:r>
    </w:p>
    <w:p w:rsidR="00AB4D98" w:rsidRPr="00AB4D98" w:rsidRDefault="00AB4D98" w:rsidP="00AB4D98">
      <w:pPr>
        <w:pStyle w:val="PargrafodaLista"/>
        <w:numPr>
          <w:ilvl w:val="0"/>
          <w:numId w:val="3"/>
        </w:numPr>
        <w:spacing w:after="0" w:line="360" w:lineRule="auto"/>
        <w:jc w:val="both"/>
        <w:rPr>
          <w:rFonts w:ascii="Times New Roman" w:hAnsi="Times New Roman" w:cs="Times New Roman"/>
          <w:sz w:val="20"/>
          <w:szCs w:val="20"/>
          <w:u w:val="single"/>
        </w:rPr>
      </w:pPr>
      <w:r w:rsidRPr="00AB4D98">
        <w:rPr>
          <w:rFonts w:ascii="Times New Roman" w:hAnsi="Times New Roman" w:cs="Times New Roman"/>
          <w:sz w:val="20"/>
          <w:szCs w:val="20"/>
          <w:u w:val="single"/>
        </w:rPr>
        <w:t>A concessão de revisão geral anual (RGA) impacta diretamente no aumento das Despesas Totais com Pessoal (DTP) do Poder ou órgão autônomo, para fins de cálculo da apuração dos limites estabelecidos pela Lei de Responsabilidade Fiscal – LRF.</w:t>
      </w:r>
    </w:p>
    <w:p w:rsidR="00AB4D98" w:rsidRPr="00AB4D98" w:rsidRDefault="00AB4D98" w:rsidP="00AB4D98">
      <w:pPr>
        <w:pStyle w:val="PargrafodaLista"/>
        <w:spacing w:after="0" w:line="360" w:lineRule="auto"/>
        <w:ind w:left="3762"/>
        <w:jc w:val="both"/>
        <w:rPr>
          <w:rFonts w:ascii="Times New Roman" w:hAnsi="Times New Roman" w:cs="Times New Roman"/>
          <w:sz w:val="20"/>
          <w:szCs w:val="20"/>
          <w:u w:val="single"/>
        </w:rPr>
      </w:pPr>
    </w:p>
    <w:p w:rsidR="00AB4D98" w:rsidRDefault="00AB4D98" w:rsidP="00AB4D98">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lastRenderedPageBreak/>
        <w:t>Salienta-se, entretanto</w:t>
      </w:r>
      <w:r w:rsidR="00422F8C">
        <w:rPr>
          <w:rFonts w:ascii="Times New Roman" w:hAnsi="Times New Roman" w:cs="Times New Roman"/>
          <w:sz w:val="24"/>
          <w:szCs w:val="24"/>
        </w:rPr>
        <w:t xml:space="preserve"> que o projeto veio acompanhado de demonstrativo do impacto financeiro, apontando a estimativa das despesas com pessoal após a concessão da RGA, </w:t>
      </w:r>
      <w:r w:rsidR="00E6105C">
        <w:rPr>
          <w:rFonts w:ascii="Times New Roman" w:hAnsi="Times New Roman" w:cs="Times New Roman"/>
          <w:sz w:val="24"/>
          <w:szCs w:val="24"/>
        </w:rPr>
        <w:t>referente aos exercícios de 202</w:t>
      </w:r>
      <w:r w:rsidR="00BA34BA">
        <w:rPr>
          <w:rFonts w:ascii="Times New Roman" w:hAnsi="Times New Roman" w:cs="Times New Roman"/>
          <w:sz w:val="24"/>
          <w:szCs w:val="24"/>
        </w:rPr>
        <w:t>5</w:t>
      </w:r>
      <w:r w:rsidR="00E6105C">
        <w:rPr>
          <w:rFonts w:ascii="Times New Roman" w:hAnsi="Times New Roman" w:cs="Times New Roman"/>
          <w:sz w:val="24"/>
          <w:szCs w:val="24"/>
        </w:rPr>
        <w:t>, 202</w:t>
      </w:r>
      <w:r w:rsidR="00BA34BA">
        <w:rPr>
          <w:rFonts w:ascii="Times New Roman" w:hAnsi="Times New Roman" w:cs="Times New Roman"/>
          <w:sz w:val="24"/>
          <w:szCs w:val="24"/>
        </w:rPr>
        <w:t>6</w:t>
      </w:r>
      <w:r w:rsidR="00E6105C">
        <w:rPr>
          <w:rFonts w:ascii="Times New Roman" w:hAnsi="Times New Roman" w:cs="Times New Roman"/>
          <w:sz w:val="24"/>
          <w:szCs w:val="24"/>
        </w:rPr>
        <w:t xml:space="preserve"> e 202</w:t>
      </w:r>
      <w:r w:rsidR="00BA34BA">
        <w:rPr>
          <w:rFonts w:ascii="Times New Roman" w:hAnsi="Times New Roman" w:cs="Times New Roman"/>
          <w:sz w:val="24"/>
          <w:szCs w:val="24"/>
        </w:rPr>
        <w:t>7</w:t>
      </w:r>
      <w:r w:rsidR="00422F8C">
        <w:rPr>
          <w:rFonts w:ascii="Times New Roman" w:hAnsi="Times New Roman" w:cs="Times New Roman"/>
          <w:sz w:val="24"/>
          <w:szCs w:val="24"/>
        </w:rPr>
        <w:t>.</w:t>
      </w:r>
    </w:p>
    <w:p w:rsidR="00422F8C" w:rsidRPr="007F543B" w:rsidRDefault="00422F8C" w:rsidP="00AB4D98">
      <w:pPr>
        <w:spacing w:after="0" w:line="360" w:lineRule="auto"/>
        <w:ind w:firstLine="1701"/>
        <w:jc w:val="both"/>
        <w:rPr>
          <w:rFonts w:ascii="Times New Roman" w:hAnsi="Times New Roman" w:cs="Times New Roman"/>
          <w:b/>
          <w:sz w:val="24"/>
          <w:szCs w:val="24"/>
        </w:rPr>
      </w:pPr>
      <w:r>
        <w:rPr>
          <w:rFonts w:ascii="Times New Roman" w:hAnsi="Times New Roman" w:cs="Times New Roman"/>
          <w:sz w:val="24"/>
          <w:szCs w:val="24"/>
        </w:rPr>
        <w:t>Nesse sentido, não se verifica</w:t>
      </w:r>
      <w:r w:rsidRPr="00422F8C">
        <w:rPr>
          <w:rFonts w:ascii="Times New Roman" w:hAnsi="Times New Roman" w:cs="Times New Roman"/>
          <w:sz w:val="24"/>
          <w:szCs w:val="24"/>
        </w:rPr>
        <w:t xml:space="preserve"> nenhum vício de inconstituci</w:t>
      </w:r>
      <w:r>
        <w:rPr>
          <w:rFonts w:ascii="Times New Roman" w:hAnsi="Times New Roman" w:cs="Times New Roman"/>
          <w:sz w:val="24"/>
          <w:szCs w:val="24"/>
        </w:rPr>
        <w:t>onalidade, posto que</w:t>
      </w:r>
      <w:r w:rsidRPr="00422F8C">
        <w:rPr>
          <w:rFonts w:ascii="Times New Roman" w:hAnsi="Times New Roman" w:cs="Times New Roman"/>
          <w:sz w:val="24"/>
          <w:szCs w:val="24"/>
        </w:rPr>
        <w:t xml:space="preserve"> </w:t>
      </w:r>
      <w:r w:rsidRPr="007F543B">
        <w:rPr>
          <w:rFonts w:ascii="Times New Roman" w:hAnsi="Times New Roman" w:cs="Times New Roman"/>
          <w:b/>
          <w:sz w:val="24"/>
          <w:szCs w:val="24"/>
        </w:rPr>
        <w:t>o presente projeto de lei atende os dispositivos normativos que regulamentam esse tipo de matéria</w:t>
      </w:r>
    </w:p>
    <w:p w:rsidR="00422F8C" w:rsidRDefault="00422F8C" w:rsidP="00AB4D98">
      <w:pPr>
        <w:spacing w:after="0" w:line="360" w:lineRule="auto"/>
        <w:ind w:firstLine="1701"/>
        <w:jc w:val="both"/>
        <w:rPr>
          <w:rFonts w:ascii="Times New Roman" w:hAnsi="Times New Roman" w:cs="Times New Roman"/>
          <w:sz w:val="24"/>
          <w:szCs w:val="24"/>
        </w:rPr>
      </w:pPr>
    </w:p>
    <w:p w:rsidR="00AB4D98" w:rsidRDefault="00AB4D98" w:rsidP="00AB4D98">
      <w:pPr>
        <w:spacing w:after="0" w:line="360" w:lineRule="auto"/>
        <w:ind w:left="3402" w:firstLine="1701"/>
        <w:jc w:val="both"/>
        <w:rPr>
          <w:rFonts w:ascii="Times New Roman" w:hAnsi="Times New Roman" w:cs="Times New Roman"/>
          <w:sz w:val="24"/>
          <w:szCs w:val="24"/>
        </w:rPr>
      </w:pPr>
    </w:p>
    <w:p w:rsidR="00980B4A" w:rsidRPr="00980B4A" w:rsidRDefault="00980B4A" w:rsidP="00980B4A">
      <w:pPr>
        <w:pStyle w:val="PargrafodaLista"/>
        <w:numPr>
          <w:ilvl w:val="0"/>
          <w:numId w:val="2"/>
        </w:numPr>
        <w:spacing w:after="0" w:line="360" w:lineRule="auto"/>
        <w:jc w:val="both"/>
        <w:rPr>
          <w:rFonts w:ascii="Times New Roman" w:hAnsi="Times New Roman" w:cs="Times New Roman"/>
          <w:b/>
          <w:sz w:val="24"/>
          <w:szCs w:val="24"/>
        </w:rPr>
      </w:pPr>
      <w:r w:rsidRPr="00980B4A">
        <w:rPr>
          <w:rFonts w:ascii="Times New Roman" w:hAnsi="Times New Roman" w:cs="Times New Roman"/>
          <w:b/>
          <w:sz w:val="24"/>
          <w:szCs w:val="24"/>
        </w:rPr>
        <w:t>CONCLUSÃO</w:t>
      </w:r>
    </w:p>
    <w:p w:rsidR="00980B4A" w:rsidRDefault="00980B4A" w:rsidP="00980B4A">
      <w:pPr>
        <w:spacing w:after="0" w:line="360" w:lineRule="auto"/>
        <w:ind w:firstLine="1701"/>
        <w:jc w:val="both"/>
        <w:rPr>
          <w:rFonts w:ascii="Times New Roman" w:hAnsi="Times New Roman" w:cs="Times New Roman"/>
          <w:b/>
          <w:sz w:val="24"/>
          <w:szCs w:val="24"/>
        </w:rPr>
      </w:pPr>
      <w:r w:rsidRPr="00980B4A">
        <w:rPr>
          <w:rFonts w:ascii="Times New Roman" w:hAnsi="Times New Roman" w:cs="Times New Roman"/>
          <w:sz w:val="24"/>
          <w:szCs w:val="24"/>
        </w:rPr>
        <w:t xml:space="preserve">Do ponto de vista da juridicidade, a Assessoria Jurídica OPINA s.m.j. pela </w:t>
      </w:r>
      <w:r w:rsidRPr="004D7147">
        <w:rPr>
          <w:rFonts w:ascii="Times New Roman" w:hAnsi="Times New Roman" w:cs="Times New Roman"/>
          <w:b/>
          <w:sz w:val="24"/>
          <w:szCs w:val="24"/>
        </w:rPr>
        <w:t xml:space="preserve">viabilidade técnica do projeto. </w:t>
      </w:r>
    </w:p>
    <w:p w:rsidR="00980B4A" w:rsidRPr="00980B4A" w:rsidRDefault="00980B4A" w:rsidP="00980B4A">
      <w:pPr>
        <w:spacing w:after="0" w:line="360" w:lineRule="auto"/>
        <w:ind w:firstLine="1701"/>
        <w:jc w:val="both"/>
        <w:rPr>
          <w:rFonts w:ascii="Times New Roman" w:hAnsi="Times New Roman" w:cs="Times New Roman"/>
          <w:sz w:val="24"/>
          <w:szCs w:val="24"/>
        </w:rPr>
      </w:pPr>
      <w:r w:rsidRPr="00980B4A">
        <w:rPr>
          <w:rFonts w:ascii="Times New Roman" w:hAnsi="Times New Roman" w:cs="Times New Roman"/>
          <w:sz w:val="24"/>
          <w:szCs w:val="24"/>
        </w:rPr>
        <w:t>No que tange ao mérito, a Assessoria Jurídica não irá se pronunciar, pois caberá aos vereadores, no uso da função legislativa, verificar a viabilidade da aprovação, respeitando-se, para tanto, as formalidades legais e regimentais.</w:t>
      </w:r>
    </w:p>
    <w:p w:rsidR="00F623A4" w:rsidRPr="0058721B" w:rsidRDefault="00F623A4" w:rsidP="00980B4A">
      <w:pPr>
        <w:spacing w:after="0" w:line="360" w:lineRule="auto"/>
        <w:ind w:firstLine="1701"/>
        <w:jc w:val="both"/>
        <w:rPr>
          <w:rFonts w:ascii="Times New Roman" w:hAnsi="Times New Roman" w:cs="Times New Roman"/>
          <w:sz w:val="24"/>
          <w:szCs w:val="24"/>
        </w:rPr>
      </w:pPr>
    </w:p>
    <w:p w:rsidR="00270F69" w:rsidRPr="0058721B" w:rsidRDefault="00270F69" w:rsidP="00980B4A">
      <w:pPr>
        <w:spacing w:after="0" w:line="360" w:lineRule="auto"/>
        <w:ind w:firstLine="1701"/>
        <w:jc w:val="both"/>
        <w:rPr>
          <w:rFonts w:ascii="Times New Roman" w:hAnsi="Times New Roman" w:cs="Times New Roman"/>
          <w:sz w:val="24"/>
          <w:szCs w:val="24"/>
        </w:rPr>
      </w:pPr>
    </w:p>
    <w:p w:rsidR="00F623A4" w:rsidRPr="0058721B" w:rsidRDefault="00F623A4" w:rsidP="00980B4A">
      <w:pPr>
        <w:spacing w:after="0" w:line="360" w:lineRule="auto"/>
        <w:ind w:firstLine="1701"/>
        <w:jc w:val="both"/>
        <w:rPr>
          <w:rFonts w:ascii="Times New Roman" w:hAnsi="Times New Roman" w:cs="Times New Roman"/>
          <w:sz w:val="24"/>
          <w:szCs w:val="24"/>
        </w:rPr>
      </w:pPr>
    </w:p>
    <w:p w:rsidR="00104E49" w:rsidRPr="0058721B" w:rsidRDefault="00E6105C" w:rsidP="00F12A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Vera, </w:t>
      </w:r>
      <w:r w:rsidR="00BA34BA">
        <w:rPr>
          <w:rFonts w:ascii="Times New Roman" w:hAnsi="Times New Roman" w:cs="Times New Roman"/>
          <w:sz w:val="24"/>
          <w:szCs w:val="24"/>
        </w:rPr>
        <w:t>14</w:t>
      </w:r>
      <w:r>
        <w:rPr>
          <w:rFonts w:ascii="Times New Roman" w:hAnsi="Times New Roman" w:cs="Times New Roman"/>
          <w:sz w:val="24"/>
          <w:szCs w:val="24"/>
        </w:rPr>
        <w:t xml:space="preserve"> de março de 202</w:t>
      </w:r>
      <w:r w:rsidR="00BA34BA">
        <w:rPr>
          <w:rFonts w:ascii="Times New Roman" w:hAnsi="Times New Roman" w:cs="Times New Roman"/>
          <w:sz w:val="24"/>
          <w:szCs w:val="24"/>
        </w:rPr>
        <w:t>5</w:t>
      </w:r>
      <w:r w:rsidR="00104E49" w:rsidRPr="0058721B">
        <w:rPr>
          <w:rFonts w:ascii="Times New Roman" w:hAnsi="Times New Roman" w:cs="Times New Roman"/>
          <w:sz w:val="24"/>
          <w:szCs w:val="24"/>
        </w:rPr>
        <w:t>.</w:t>
      </w:r>
    </w:p>
    <w:p w:rsidR="00F12AC6" w:rsidRPr="0058721B" w:rsidRDefault="00F12AC6" w:rsidP="00980B4A">
      <w:pPr>
        <w:spacing w:line="360" w:lineRule="auto"/>
        <w:ind w:firstLine="1701"/>
        <w:jc w:val="both"/>
        <w:rPr>
          <w:rFonts w:ascii="Times New Roman" w:hAnsi="Times New Roman" w:cs="Times New Roman"/>
          <w:sz w:val="24"/>
          <w:szCs w:val="24"/>
        </w:rPr>
      </w:pPr>
    </w:p>
    <w:p w:rsidR="00F560DA" w:rsidRPr="0058721B" w:rsidRDefault="00F560DA" w:rsidP="00980B4A">
      <w:pPr>
        <w:spacing w:line="360" w:lineRule="auto"/>
        <w:ind w:firstLine="1701"/>
        <w:jc w:val="both"/>
        <w:rPr>
          <w:rFonts w:ascii="Times New Roman" w:hAnsi="Times New Roman" w:cs="Times New Roman"/>
          <w:sz w:val="24"/>
          <w:szCs w:val="24"/>
        </w:rPr>
      </w:pPr>
    </w:p>
    <w:p w:rsidR="00F06007" w:rsidRPr="00B70D0F" w:rsidRDefault="00F06007" w:rsidP="00F06007">
      <w:pPr>
        <w:spacing w:after="0"/>
        <w:jc w:val="center"/>
        <w:rPr>
          <w:rFonts w:ascii="Times New Roman" w:eastAsia="Times New Roman" w:hAnsi="Times New Roman" w:cs="Times New Roman"/>
          <w:b/>
          <w:bCs/>
          <w:sz w:val="24"/>
          <w:szCs w:val="24"/>
          <w:lang w:eastAsia="pt-BR"/>
        </w:rPr>
      </w:pPr>
      <w:r w:rsidRPr="00B70D0F">
        <w:rPr>
          <w:rFonts w:ascii="Times New Roman" w:eastAsia="Times New Roman" w:hAnsi="Times New Roman" w:cs="Times New Roman"/>
          <w:b/>
          <w:bCs/>
          <w:sz w:val="24"/>
          <w:szCs w:val="24"/>
          <w:lang w:eastAsia="pt-BR"/>
        </w:rPr>
        <w:t>ALEXSANDRO DE FARIAS</w:t>
      </w:r>
    </w:p>
    <w:p w:rsidR="00F06007" w:rsidRPr="00B70D0F" w:rsidRDefault="00F06007" w:rsidP="00F06007">
      <w:pPr>
        <w:spacing w:after="0"/>
        <w:jc w:val="center"/>
        <w:rPr>
          <w:rFonts w:ascii="Times New Roman" w:eastAsia="Times New Roman" w:hAnsi="Times New Roman" w:cs="Times New Roman"/>
          <w:b/>
          <w:bCs/>
          <w:sz w:val="24"/>
          <w:szCs w:val="24"/>
          <w:lang w:eastAsia="pt-BR"/>
        </w:rPr>
      </w:pPr>
      <w:r w:rsidRPr="00B70D0F">
        <w:rPr>
          <w:rFonts w:ascii="Times New Roman" w:eastAsia="Times New Roman" w:hAnsi="Times New Roman" w:cs="Times New Roman"/>
          <w:b/>
          <w:bCs/>
          <w:sz w:val="24"/>
          <w:szCs w:val="24"/>
          <w:lang w:eastAsia="pt-BR"/>
        </w:rPr>
        <w:t>ASSESSOR JURÍDICO</w:t>
      </w:r>
    </w:p>
    <w:p w:rsidR="00EA2822" w:rsidRPr="0058721B" w:rsidRDefault="00F06007" w:rsidP="00F06007">
      <w:pPr>
        <w:spacing w:after="0" w:line="240" w:lineRule="auto"/>
        <w:jc w:val="center"/>
        <w:rPr>
          <w:rFonts w:ascii="Times New Roman" w:hAnsi="Times New Roman" w:cs="Times New Roman"/>
          <w:sz w:val="24"/>
          <w:szCs w:val="24"/>
        </w:rPr>
      </w:pPr>
      <w:r w:rsidRPr="00B70D0F">
        <w:rPr>
          <w:rFonts w:ascii="Times New Roman" w:eastAsia="Times New Roman" w:hAnsi="Times New Roman" w:cs="Times New Roman"/>
          <w:b/>
          <w:bCs/>
          <w:sz w:val="24"/>
          <w:szCs w:val="24"/>
          <w:lang w:eastAsia="pt-BR"/>
        </w:rPr>
        <w:t>OAB/MT 24.871/O</w:t>
      </w:r>
    </w:p>
    <w:p w:rsidR="00EA2822" w:rsidRPr="0058721B" w:rsidRDefault="00EA2822" w:rsidP="00973DAB">
      <w:pPr>
        <w:jc w:val="both"/>
        <w:rPr>
          <w:rFonts w:ascii="Times New Roman" w:hAnsi="Times New Roman" w:cs="Times New Roman"/>
          <w:sz w:val="24"/>
          <w:szCs w:val="24"/>
        </w:rPr>
      </w:pPr>
    </w:p>
    <w:p w:rsidR="00F623A4" w:rsidRPr="0058721B" w:rsidRDefault="00F623A4" w:rsidP="00973DAB">
      <w:pPr>
        <w:jc w:val="both"/>
        <w:rPr>
          <w:rFonts w:ascii="Times New Roman" w:hAnsi="Times New Roman" w:cs="Times New Roman"/>
          <w:sz w:val="24"/>
          <w:szCs w:val="24"/>
        </w:rPr>
      </w:pPr>
    </w:p>
    <w:sectPr w:rsidR="00F623A4" w:rsidRPr="0058721B" w:rsidSect="00F560DA">
      <w:pgSz w:w="11906" w:h="16838"/>
      <w:pgMar w:top="1985" w:right="1134"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D39" w:rsidRDefault="00877D39" w:rsidP="00EA0273">
      <w:pPr>
        <w:spacing w:after="0" w:line="240" w:lineRule="auto"/>
      </w:pPr>
      <w:r>
        <w:separator/>
      </w:r>
    </w:p>
  </w:endnote>
  <w:endnote w:type="continuationSeparator" w:id="0">
    <w:p w:rsidR="00877D39" w:rsidRDefault="00877D39" w:rsidP="00EA0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D39" w:rsidRDefault="00877D39" w:rsidP="00EA0273">
      <w:pPr>
        <w:spacing w:after="0" w:line="240" w:lineRule="auto"/>
      </w:pPr>
      <w:r>
        <w:separator/>
      </w:r>
    </w:p>
  </w:footnote>
  <w:footnote w:type="continuationSeparator" w:id="0">
    <w:p w:rsidR="00877D39" w:rsidRDefault="00877D39" w:rsidP="00EA02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12CA"/>
    <w:multiLevelType w:val="hybridMultilevel"/>
    <w:tmpl w:val="E9AAC5D8"/>
    <w:lvl w:ilvl="0" w:tplc="6A9E9C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B17A27"/>
    <w:multiLevelType w:val="hybridMultilevel"/>
    <w:tmpl w:val="3FE6AE8C"/>
    <w:lvl w:ilvl="0" w:tplc="46C2069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284AE9"/>
    <w:multiLevelType w:val="hybridMultilevel"/>
    <w:tmpl w:val="977AADFE"/>
    <w:lvl w:ilvl="0" w:tplc="EAC2C8A2">
      <w:start w:val="1"/>
      <w:numFmt w:val="decimal"/>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16cid:durableId="2058315837">
    <w:abstractNumId w:val="1"/>
  </w:num>
  <w:num w:numId="2" w16cid:durableId="253589442">
    <w:abstractNumId w:val="0"/>
  </w:num>
  <w:num w:numId="3" w16cid:durableId="1681003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FCD"/>
    <w:rsid w:val="00031F70"/>
    <w:rsid w:val="00032E8B"/>
    <w:rsid w:val="0006617C"/>
    <w:rsid w:val="00080888"/>
    <w:rsid w:val="00104E49"/>
    <w:rsid w:val="00147843"/>
    <w:rsid w:val="0015548A"/>
    <w:rsid w:val="00186853"/>
    <w:rsid w:val="001A12E2"/>
    <w:rsid w:val="001C0A35"/>
    <w:rsid w:val="001C7525"/>
    <w:rsid w:val="001E7AFC"/>
    <w:rsid w:val="002042E5"/>
    <w:rsid w:val="00256913"/>
    <w:rsid w:val="00257BB3"/>
    <w:rsid w:val="00270F69"/>
    <w:rsid w:val="002E5BCB"/>
    <w:rsid w:val="003239EF"/>
    <w:rsid w:val="0035322B"/>
    <w:rsid w:val="00382C4C"/>
    <w:rsid w:val="003968A8"/>
    <w:rsid w:val="003A6C19"/>
    <w:rsid w:val="003B2404"/>
    <w:rsid w:val="003D02FD"/>
    <w:rsid w:val="003D121F"/>
    <w:rsid w:val="003E00AE"/>
    <w:rsid w:val="00422F8C"/>
    <w:rsid w:val="00426298"/>
    <w:rsid w:val="004908BD"/>
    <w:rsid w:val="004D7147"/>
    <w:rsid w:val="004F2E52"/>
    <w:rsid w:val="00516922"/>
    <w:rsid w:val="005515FF"/>
    <w:rsid w:val="0058721B"/>
    <w:rsid w:val="006067DF"/>
    <w:rsid w:val="00640055"/>
    <w:rsid w:val="006404FA"/>
    <w:rsid w:val="006664CC"/>
    <w:rsid w:val="007304EE"/>
    <w:rsid w:val="00743457"/>
    <w:rsid w:val="0075707C"/>
    <w:rsid w:val="00773020"/>
    <w:rsid w:val="00796066"/>
    <w:rsid w:val="007B70B3"/>
    <w:rsid w:val="007C06B8"/>
    <w:rsid w:val="007D22CF"/>
    <w:rsid w:val="007F543B"/>
    <w:rsid w:val="00824368"/>
    <w:rsid w:val="00877D39"/>
    <w:rsid w:val="008B2FF1"/>
    <w:rsid w:val="008F762C"/>
    <w:rsid w:val="00926AAE"/>
    <w:rsid w:val="00965FA6"/>
    <w:rsid w:val="00973DAB"/>
    <w:rsid w:val="00980B4A"/>
    <w:rsid w:val="009A19E8"/>
    <w:rsid w:val="009A2FCD"/>
    <w:rsid w:val="009D5C36"/>
    <w:rsid w:val="009E64A1"/>
    <w:rsid w:val="00A04E1D"/>
    <w:rsid w:val="00A12615"/>
    <w:rsid w:val="00A22441"/>
    <w:rsid w:val="00A408DE"/>
    <w:rsid w:val="00A446A2"/>
    <w:rsid w:val="00A450C0"/>
    <w:rsid w:val="00A601BB"/>
    <w:rsid w:val="00A8146D"/>
    <w:rsid w:val="00A85B29"/>
    <w:rsid w:val="00A915A4"/>
    <w:rsid w:val="00A93BDA"/>
    <w:rsid w:val="00AB4D98"/>
    <w:rsid w:val="00AD1C3E"/>
    <w:rsid w:val="00AF0425"/>
    <w:rsid w:val="00AF3ECF"/>
    <w:rsid w:val="00B5504F"/>
    <w:rsid w:val="00B6695C"/>
    <w:rsid w:val="00BA34BA"/>
    <w:rsid w:val="00BA77A0"/>
    <w:rsid w:val="00BD522D"/>
    <w:rsid w:val="00BD6C60"/>
    <w:rsid w:val="00C10B5A"/>
    <w:rsid w:val="00C54539"/>
    <w:rsid w:val="00C763E7"/>
    <w:rsid w:val="00C838AB"/>
    <w:rsid w:val="00C855C0"/>
    <w:rsid w:val="00C90F2D"/>
    <w:rsid w:val="00C92808"/>
    <w:rsid w:val="00D00665"/>
    <w:rsid w:val="00D1585C"/>
    <w:rsid w:val="00D777A8"/>
    <w:rsid w:val="00D85203"/>
    <w:rsid w:val="00DE1BEA"/>
    <w:rsid w:val="00E212B6"/>
    <w:rsid w:val="00E24C5C"/>
    <w:rsid w:val="00E6105C"/>
    <w:rsid w:val="00EA0273"/>
    <w:rsid w:val="00EA2822"/>
    <w:rsid w:val="00F0105E"/>
    <w:rsid w:val="00F06007"/>
    <w:rsid w:val="00F12AC6"/>
    <w:rsid w:val="00F151BD"/>
    <w:rsid w:val="00F4132F"/>
    <w:rsid w:val="00F560DA"/>
    <w:rsid w:val="00F603F1"/>
    <w:rsid w:val="00F623A4"/>
    <w:rsid w:val="00F656A0"/>
    <w:rsid w:val="00FA0530"/>
    <w:rsid w:val="00FE119B"/>
    <w:rsid w:val="00FF10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269D"/>
  <w15:docId w15:val="{63F6BA03-C706-4D4F-BC44-430BC14E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F04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A0273"/>
    <w:pPr>
      <w:ind w:left="720"/>
      <w:contextualSpacing/>
    </w:pPr>
  </w:style>
  <w:style w:type="paragraph" w:styleId="Cabealho">
    <w:name w:val="header"/>
    <w:basedOn w:val="Normal"/>
    <w:link w:val="CabealhoChar"/>
    <w:uiPriority w:val="99"/>
    <w:unhideWhenUsed/>
    <w:rsid w:val="00EA02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0273"/>
  </w:style>
  <w:style w:type="paragraph" w:styleId="Rodap">
    <w:name w:val="footer"/>
    <w:basedOn w:val="Normal"/>
    <w:link w:val="RodapChar"/>
    <w:uiPriority w:val="99"/>
    <w:unhideWhenUsed/>
    <w:rsid w:val="00EA0273"/>
    <w:pPr>
      <w:tabs>
        <w:tab w:val="center" w:pos="4252"/>
        <w:tab w:val="right" w:pos="8504"/>
      </w:tabs>
      <w:spacing w:after="0" w:line="240" w:lineRule="auto"/>
    </w:pPr>
  </w:style>
  <w:style w:type="character" w:customStyle="1" w:styleId="RodapChar">
    <w:name w:val="Rodapé Char"/>
    <w:basedOn w:val="Fontepargpadro"/>
    <w:link w:val="Rodap"/>
    <w:uiPriority w:val="99"/>
    <w:rsid w:val="00EA0273"/>
  </w:style>
  <w:style w:type="paragraph" w:styleId="Textodebalo">
    <w:name w:val="Balloon Text"/>
    <w:basedOn w:val="Normal"/>
    <w:link w:val="TextodebaloChar"/>
    <w:uiPriority w:val="99"/>
    <w:semiHidden/>
    <w:unhideWhenUsed/>
    <w:rsid w:val="0006617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61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46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7264E-9BC4-4B35-AF89-366B28CB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632</Words>
  <Characters>3418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Recepção</dc:creator>
  <cp:lastModifiedBy>User</cp:lastModifiedBy>
  <cp:revision>4</cp:revision>
  <cp:lastPrinted>2018-08-13T14:37:00Z</cp:lastPrinted>
  <dcterms:created xsi:type="dcterms:W3CDTF">2025-03-14T15:29:00Z</dcterms:created>
  <dcterms:modified xsi:type="dcterms:W3CDTF">2025-03-14T15:42:00Z</dcterms:modified>
</cp:coreProperties>
</file>