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B72F" w14:textId="185E5223" w:rsidR="009A2FCD" w:rsidRPr="009750EE" w:rsidRDefault="00973DAB" w:rsidP="00973DAB">
      <w:pPr>
        <w:spacing w:after="0" w:line="360" w:lineRule="auto"/>
        <w:jc w:val="both"/>
        <w:rPr>
          <w:rFonts w:ascii="Times New Roman" w:hAnsi="Times New Roman" w:cs="Times New Roman"/>
          <w:b/>
          <w:sz w:val="24"/>
          <w:szCs w:val="24"/>
        </w:rPr>
      </w:pPr>
      <w:r w:rsidRPr="009750EE">
        <w:rPr>
          <w:rFonts w:ascii="Times New Roman" w:hAnsi="Times New Roman" w:cs="Times New Roman"/>
          <w:b/>
          <w:sz w:val="24"/>
          <w:szCs w:val="24"/>
        </w:rPr>
        <w:t>Parecer Jurídico n</w:t>
      </w:r>
      <w:r w:rsidR="00107839" w:rsidRPr="009750EE">
        <w:rPr>
          <w:rFonts w:ascii="Times New Roman" w:hAnsi="Times New Roman" w:cs="Times New Roman"/>
          <w:b/>
          <w:sz w:val="24"/>
          <w:szCs w:val="24"/>
        </w:rPr>
        <w:t xml:space="preserve">º </w:t>
      </w:r>
      <w:r w:rsidR="009750EE" w:rsidRPr="009750EE">
        <w:rPr>
          <w:rFonts w:ascii="Times New Roman" w:hAnsi="Times New Roman" w:cs="Times New Roman"/>
          <w:b/>
          <w:sz w:val="24"/>
          <w:szCs w:val="24"/>
        </w:rPr>
        <w:t>07</w:t>
      </w:r>
      <w:r w:rsidR="00107839" w:rsidRPr="009750EE">
        <w:rPr>
          <w:rFonts w:ascii="Times New Roman" w:hAnsi="Times New Roman" w:cs="Times New Roman"/>
          <w:b/>
          <w:sz w:val="24"/>
          <w:szCs w:val="24"/>
        </w:rPr>
        <w:t>/202</w:t>
      </w:r>
      <w:r w:rsidR="009750EE" w:rsidRPr="009750EE">
        <w:rPr>
          <w:rFonts w:ascii="Times New Roman" w:hAnsi="Times New Roman" w:cs="Times New Roman"/>
          <w:b/>
          <w:sz w:val="24"/>
          <w:szCs w:val="24"/>
        </w:rPr>
        <w:t>5</w:t>
      </w:r>
    </w:p>
    <w:p w14:paraId="0B16756C" w14:textId="7433F8F6" w:rsidR="009A2FCD" w:rsidRPr="009750EE" w:rsidRDefault="00973DAB" w:rsidP="00973DAB">
      <w:pPr>
        <w:spacing w:after="0" w:line="360" w:lineRule="auto"/>
        <w:jc w:val="both"/>
        <w:rPr>
          <w:rFonts w:ascii="Times New Roman" w:hAnsi="Times New Roman" w:cs="Times New Roman"/>
          <w:b/>
          <w:sz w:val="24"/>
          <w:szCs w:val="24"/>
        </w:rPr>
      </w:pPr>
      <w:r w:rsidRPr="009750EE">
        <w:rPr>
          <w:rFonts w:ascii="Times New Roman" w:hAnsi="Times New Roman" w:cs="Times New Roman"/>
          <w:b/>
          <w:sz w:val="24"/>
          <w:szCs w:val="24"/>
        </w:rPr>
        <w:t>Referência</w:t>
      </w:r>
      <w:r w:rsidR="006A7F79" w:rsidRPr="009750EE">
        <w:rPr>
          <w:rFonts w:ascii="Times New Roman" w:hAnsi="Times New Roman" w:cs="Times New Roman"/>
          <w:b/>
          <w:sz w:val="24"/>
          <w:szCs w:val="24"/>
        </w:rPr>
        <w:t>: Projeto de Lei</w:t>
      </w:r>
      <w:r w:rsidR="00107839" w:rsidRPr="009750EE">
        <w:rPr>
          <w:rFonts w:ascii="Times New Roman" w:hAnsi="Times New Roman" w:cs="Times New Roman"/>
          <w:b/>
          <w:sz w:val="24"/>
          <w:szCs w:val="24"/>
        </w:rPr>
        <w:t xml:space="preserve"> Complementar</w:t>
      </w:r>
      <w:r w:rsidR="006A7F79" w:rsidRPr="009750EE">
        <w:rPr>
          <w:rFonts w:ascii="Times New Roman" w:hAnsi="Times New Roman" w:cs="Times New Roman"/>
          <w:b/>
          <w:sz w:val="24"/>
          <w:szCs w:val="24"/>
        </w:rPr>
        <w:t xml:space="preserve"> </w:t>
      </w:r>
      <w:r w:rsidR="009A2FCD" w:rsidRPr="009750EE">
        <w:rPr>
          <w:rFonts w:ascii="Times New Roman" w:hAnsi="Times New Roman" w:cs="Times New Roman"/>
          <w:b/>
          <w:sz w:val="24"/>
          <w:szCs w:val="24"/>
        </w:rPr>
        <w:t xml:space="preserve">nº </w:t>
      </w:r>
      <w:r w:rsidR="00107839" w:rsidRPr="009750EE">
        <w:rPr>
          <w:rFonts w:ascii="Times New Roman" w:hAnsi="Times New Roman" w:cs="Times New Roman"/>
          <w:b/>
          <w:sz w:val="24"/>
          <w:szCs w:val="24"/>
        </w:rPr>
        <w:t>00</w:t>
      </w:r>
      <w:r w:rsidR="009750EE" w:rsidRPr="009750EE">
        <w:rPr>
          <w:rFonts w:ascii="Times New Roman" w:hAnsi="Times New Roman" w:cs="Times New Roman"/>
          <w:b/>
          <w:sz w:val="24"/>
          <w:szCs w:val="24"/>
        </w:rPr>
        <w:t>1</w:t>
      </w:r>
      <w:r w:rsidR="00107839" w:rsidRPr="009750EE">
        <w:rPr>
          <w:rFonts w:ascii="Times New Roman" w:hAnsi="Times New Roman" w:cs="Times New Roman"/>
          <w:b/>
          <w:sz w:val="24"/>
          <w:szCs w:val="24"/>
        </w:rPr>
        <w:t>/202</w:t>
      </w:r>
      <w:r w:rsidR="009750EE" w:rsidRPr="009750EE">
        <w:rPr>
          <w:rFonts w:ascii="Times New Roman" w:hAnsi="Times New Roman" w:cs="Times New Roman"/>
          <w:b/>
          <w:sz w:val="24"/>
          <w:szCs w:val="24"/>
        </w:rPr>
        <w:t>5</w:t>
      </w:r>
    </w:p>
    <w:p w14:paraId="77A360B6" w14:textId="77777777" w:rsidR="009A2FCD" w:rsidRPr="009750EE" w:rsidRDefault="009A2FCD" w:rsidP="00973DAB">
      <w:pPr>
        <w:spacing w:after="0" w:line="360" w:lineRule="auto"/>
        <w:jc w:val="both"/>
        <w:rPr>
          <w:rFonts w:ascii="Times New Roman" w:hAnsi="Times New Roman" w:cs="Times New Roman"/>
          <w:b/>
          <w:sz w:val="24"/>
          <w:szCs w:val="24"/>
        </w:rPr>
      </w:pPr>
      <w:r w:rsidRPr="009750EE">
        <w:rPr>
          <w:rFonts w:ascii="Times New Roman" w:hAnsi="Times New Roman" w:cs="Times New Roman"/>
          <w:b/>
          <w:sz w:val="24"/>
          <w:szCs w:val="24"/>
        </w:rPr>
        <w:t>Autoria: Executivo Municipal</w:t>
      </w:r>
      <w:r w:rsidR="00D32B9B" w:rsidRPr="009750EE">
        <w:rPr>
          <w:rFonts w:ascii="Times New Roman" w:hAnsi="Times New Roman" w:cs="Times New Roman"/>
          <w:b/>
          <w:sz w:val="24"/>
          <w:szCs w:val="24"/>
        </w:rPr>
        <w:t xml:space="preserve"> </w:t>
      </w:r>
    </w:p>
    <w:p w14:paraId="4F4BB29A" w14:textId="77777777" w:rsidR="009750EE" w:rsidRPr="009750EE" w:rsidRDefault="009A2FCD" w:rsidP="009750EE">
      <w:pPr>
        <w:spacing w:after="0" w:line="360" w:lineRule="auto"/>
        <w:ind w:left="993" w:hanging="993"/>
        <w:jc w:val="both"/>
        <w:rPr>
          <w:b/>
        </w:rPr>
      </w:pPr>
      <w:r w:rsidRPr="009750EE">
        <w:rPr>
          <w:rFonts w:ascii="Times New Roman" w:hAnsi="Times New Roman" w:cs="Times New Roman"/>
          <w:b/>
          <w:sz w:val="24"/>
          <w:szCs w:val="24"/>
        </w:rPr>
        <w:t>Ementa:</w:t>
      </w:r>
      <w:r w:rsidR="00D32B9B" w:rsidRPr="009750EE">
        <w:rPr>
          <w:rFonts w:ascii="Times New Roman" w:hAnsi="Times New Roman" w:cs="Times New Roman"/>
          <w:b/>
          <w:sz w:val="24"/>
          <w:szCs w:val="24"/>
        </w:rPr>
        <w:t xml:space="preserve"> </w:t>
      </w:r>
      <w:r w:rsidR="009750EE" w:rsidRPr="009750EE">
        <w:rPr>
          <w:b/>
        </w:rPr>
        <w:t>ALTERA DISPOSITIVOS CONSTANTES NA LEI COMPLEMENTAR MUNICIPAL Nº 024/2014 E DÁ OUTRAS PROVIDÊNCIAS.</w:t>
      </w:r>
    </w:p>
    <w:p w14:paraId="1D84A94C" w14:textId="1E05604A" w:rsidR="00BE2979" w:rsidRDefault="009750EE" w:rsidP="009750EE">
      <w:pPr>
        <w:spacing w:after="0" w:line="360" w:lineRule="auto"/>
        <w:jc w:val="both"/>
        <w:rPr>
          <w:rFonts w:ascii="Times New Roman" w:hAnsi="Times New Roman" w:cs="Times New Roman"/>
          <w:sz w:val="24"/>
          <w:szCs w:val="24"/>
        </w:rPr>
      </w:pPr>
      <w:r>
        <w:rPr>
          <w:b/>
        </w:rPr>
        <w:br/>
      </w:r>
    </w:p>
    <w:p w14:paraId="03D287F8" w14:textId="77777777" w:rsidR="00BA2899" w:rsidRPr="002C7EA2" w:rsidRDefault="00BA2899" w:rsidP="009750EE">
      <w:pPr>
        <w:spacing w:after="0" w:line="360" w:lineRule="auto"/>
        <w:jc w:val="both"/>
        <w:rPr>
          <w:rFonts w:ascii="Times New Roman" w:hAnsi="Times New Roman" w:cs="Times New Roman"/>
          <w:sz w:val="24"/>
          <w:szCs w:val="24"/>
        </w:rPr>
      </w:pPr>
    </w:p>
    <w:p w14:paraId="055F95CA" w14:textId="77777777" w:rsidR="00BE2979" w:rsidRPr="002C7EA2" w:rsidRDefault="00BE2979" w:rsidP="00BE2979">
      <w:pPr>
        <w:spacing w:after="0" w:line="360" w:lineRule="auto"/>
        <w:jc w:val="both"/>
        <w:rPr>
          <w:rFonts w:ascii="Times New Roman" w:hAnsi="Times New Roman" w:cs="Times New Roman"/>
          <w:b/>
          <w:sz w:val="24"/>
          <w:szCs w:val="24"/>
        </w:rPr>
      </w:pPr>
    </w:p>
    <w:p w14:paraId="3F021D4E" w14:textId="77777777" w:rsidR="006B0BEC" w:rsidRPr="002C7EA2" w:rsidRDefault="006B0BEC" w:rsidP="006B0BEC">
      <w:pPr>
        <w:pStyle w:val="PargrafodaLista"/>
        <w:numPr>
          <w:ilvl w:val="0"/>
          <w:numId w:val="1"/>
        </w:numPr>
        <w:jc w:val="both"/>
        <w:rPr>
          <w:rFonts w:ascii="Times New Roman" w:hAnsi="Times New Roman" w:cs="Times New Roman"/>
          <w:b/>
          <w:sz w:val="24"/>
          <w:szCs w:val="24"/>
        </w:rPr>
      </w:pPr>
      <w:r w:rsidRPr="002C7EA2">
        <w:rPr>
          <w:rFonts w:ascii="Times New Roman" w:hAnsi="Times New Roman" w:cs="Times New Roman"/>
          <w:b/>
          <w:sz w:val="24"/>
          <w:szCs w:val="24"/>
        </w:rPr>
        <w:t>RELATÓRIO</w:t>
      </w:r>
    </w:p>
    <w:p w14:paraId="4F2B18A5" w14:textId="1E20A712" w:rsidR="00042354" w:rsidRDefault="00973DAB" w:rsidP="00042354">
      <w:pPr>
        <w:spacing w:after="0"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Foi encaminhado à Assessoria</w:t>
      </w:r>
      <w:r w:rsidR="009A2FCD" w:rsidRPr="002C7EA2">
        <w:rPr>
          <w:rFonts w:ascii="Times New Roman" w:hAnsi="Times New Roman" w:cs="Times New Roman"/>
          <w:sz w:val="24"/>
          <w:szCs w:val="24"/>
        </w:rPr>
        <w:t xml:space="preserve"> Jurídica desta Casa de Leis para emissão</w:t>
      </w:r>
      <w:r w:rsidRPr="002C7EA2">
        <w:rPr>
          <w:rFonts w:ascii="Times New Roman" w:hAnsi="Times New Roman" w:cs="Times New Roman"/>
          <w:sz w:val="24"/>
          <w:szCs w:val="24"/>
        </w:rPr>
        <w:t xml:space="preserve"> de parec</w:t>
      </w:r>
      <w:r w:rsidR="006A7F79" w:rsidRPr="002C7EA2">
        <w:rPr>
          <w:rFonts w:ascii="Times New Roman" w:hAnsi="Times New Roman" w:cs="Times New Roman"/>
          <w:sz w:val="24"/>
          <w:szCs w:val="24"/>
        </w:rPr>
        <w:t xml:space="preserve">er, o </w:t>
      </w:r>
      <w:r w:rsidR="00171E10" w:rsidRPr="002C7EA2">
        <w:rPr>
          <w:rFonts w:ascii="Times New Roman" w:hAnsi="Times New Roman" w:cs="Times New Roman"/>
          <w:sz w:val="24"/>
          <w:szCs w:val="24"/>
        </w:rPr>
        <w:t>Projeto de Lei</w:t>
      </w:r>
      <w:r w:rsidR="00761D1D" w:rsidRPr="002C7EA2">
        <w:rPr>
          <w:rFonts w:ascii="Times New Roman" w:hAnsi="Times New Roman" w:cs="Times New Roman"/>
          <w:sz w:val="24"/>
          <w:szCs w:val="24"/>
        </w:rPr>
        <w:t xml:space="preserve"> Complementar nº 00</w:t>
      </w:r>
      <w:r w:rsidR="009750EE">
        <w:rPr>
          <w:rFonts w:ascii="Times New Roman" w:hAnsi="Times New Roman" w:cs="Times New Roman"/>
          <w:sz w:val="24"/>
          <w:szCs w:val="24"/>
        </w:rPr>
        <w:t>1</w:t>
      </w:r>
      <w:r w:rsidR="00761D1D" w:rsidRPr="002C7EA2">
        <w:rPr>
          <w:rFonts w:ascii="Times New Roman" w:hAnsi="Times New Roman" w:cs="Times New Roman"/>
          <w:sz w:val="24"/>
          <w:szCs w:val="24"/>
        </w:rPr>
        <w:t>/202</w:t>
      </w:r>
      <w:r w:rsidR="009750EE">
        <w:rPr>
          <w:rFonts w:ascii="Times New Roman" w:hAnsi="Times New Roman" w:cs="Times New Roman"/>
          <w:sz w:val="24"/>
          <w:szCs w:val="24"/>
        </w:rPr>
        <w:t>5</w:t>
      </w:r>
      <w:r w:rsidR="00761D1D" w:rsidRPr="002C7EA2">
        <w:rPr>
          <w:rFonts w:ascii="Times New Roman" w:hAnsi="Times New Roman" w:cs="Times New Roman"/>
          <w:sz w:val="24"/>
          <w:szCs w:val="24"/>
        </w:rPr>
        <w:t>, que tem</w:t>
      </w:r>
      <w:r w:rsidR="002C7EA2" w:rsidRPr="002C7EA2">
        <w:rPr>
          <w:rFonts w:ascii="Times New Roman" w:hAnsi="Times New Roman" w:cs="Times New Roman"/>
          <w:sz w:val="24"/>
          <w:szCs w:val="24"/>
        </w:rPr>
        <w:t xml:space="preserve"> por escopo a criação d</w:t>
      </w:r>
      <w:r w:rsidR="009750EE">
        <w:rPr>
          <w:rFonts w:ascii="Times New Roman" w:hAnsi="Times New Roman" w:cs="Times New Roman"/>
          <w:sz w:val="24"/>
          <w:szCs w:val="24"/>
        </w:rPr>
        <w:t xml:space="preserve">e cargos comissionados que passarão a integrar o disposto no Anexo I – Cargos de livre nomeação e exoneração da Lei Complementar nº 024 de 01 de dezembro de 2014. </w:t>
      </w:r>
    </w:p>
    <w:p w14:paraId="17D0F46F" w14:textId="77777777" w:rsidR="009750EE" w:rsidRPr="002C7EA2" w:rsidRDefault="009750EE" w:rsidP="00042354">
      <w:pPr>
        <w:spacing w:after="0" w:line="360" w:lineRule="auto"/>
        <w:ind w:firstLine="1701"/>
        <w:jc w:val="both"/>
        <w:rPr>
          <w:rFonts w:ascii="Times New Roman" w:hAnsi="Times New Roman" w:cs="Times New Roman"/>
          <w:sz w:val="24"/>
          <w:szCs w:val="24"/>
        </w:rPr>
      </w:pPr>
    </w:p>
    <w:p w14:paraId="435D4D94" w14:textId="77777777" w:rsidR="00303BBC" w:rsidRPr="002C7EA2" w:rsidRDefault="00303BBC" w:rsidP="001C4076">
      <w:pPr>
        <w:spacing w:after="0"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É o relatório.</w:t>
      </w:r>
    </w:p>
    <w:p w14:paraId="6D760639" w14:textId="77777777" w:rsidR="001C4076" w:rsidRDefault="001C4076" w:rsidP="001C4076">
      <w:pPr>
        <w:spacing w:after="0" w:line="360" w:lineRule="auto"/>
        <w:ind w:firstLine="1701"/>
        <w:jc w:val="both"/>
        <w:rPr>
          <w:rFonts w:ascii="Times New Roman" w:hAnsi="Times New Roman" w:cs="Times New Roman"/>
          <w:sz w:val="24"/>
          <w:szCs w:val="24"/>
        </w:rPr>
      </w:pPr>
    </w:p>
    <w:p w14:paraId="0C398715" w14:textId="77777777" w:rsidR="00BA2899" w:rsidRPr="002C7EA2" w:rsidRDefault="00BA2899" w:rsidP="001C4076">
      <w:pPr>
        <w:spacing w:after="0" w:line="360" w:lineRule="auto"/>
        <w:ind w:firstLine="1701"/>
        <w:jc w:val="both"/>
        <w:rPr>
          <w:rFonts w:ascii="Times New Roman" w:hAnsi="Times New Roman" w:cs="Times New Roman"/>
          <w:sz w:val="24"/>
          <w:szCs w:val="24"/>
        </w:rPr>
      </w:pPr>
    </w:p>
    <w:p w14:paraId="63D9A247" w14:textId="77777777" w:rsidR="00ED2C69" w:rsidRPr="002C7EA2" w:rsidRDefault="00ED2C69" w:rsidP="006B0BEC">
      <w:pPr>
        <w:spacing w:after="0" w:line="360" w:lineRule="auto"/>
        <w:jc w:val="both"/>
        <w:rPr>
          <w:rFonts w:ascii="Times New Roman" w:hAnsi="Times New Roman" w:cs="Times New Roman"/>
          <w:sz w:val="24"/>
          <w:szCs w:val="24"/>
        </w:rPr>
      </w:pPr>
    </w:p>
    <w:p w14:paraId="2F337B73" w14:textId="77777777" w:rsidR="006B0BEC" w:rsidRPr="002C7EA2" w:rsidRDefault="00077D98" w:rsidP="00812F89">
      <w:pPr>
        <w:pStyle w:val="PargrafodaLista"/>
        <w:numPr>
          <w:ilvl w:val="0"/>
          <w:numId w:val="1"/>
        </w:numPr>
        <w:spacing w:line="360" w:lineRule="auto"/>
        <w:jc w:val="both"/>
        <w:rPr>
          <w:rFonts w:ascii="Times New Roman" w:hAnsi="Times New Roman" w:cs="Times New Roman"/>
          <w:b/>
          <w:sz w:val="24"/>
          <w:szCs w:val="24"/>
        </w:rPr>
      </w:pPr>
      <w:r w:rsidRPr="002C7EA2">
        <w:rPr>
          <w:rFonts w:ascii="Times New Roman" w:hAnsi="Times New Roman" w:cs="Times New Roman"/>
          <w:b/>
          <w:sz w:val="24"/>
          <w:szCs w:val="24"/>
        </w:rPr>
        <w:t>COMPETÊNCIA E TRAMITAÇÃO</w:t>
      </w:r>
    </w:p>
    <w:p w14:paraId="6513B5B4" w14:textId="2C2B3198" w:rsidR="00A81B1B" w:rsidRPr="002C7EA2" w:rsidRDefault="00285696" w:rsidP="00812F89">
      <w:pPr>
        <w:tabs>
          <w:tab w:val="left" w:pos="2835"/>
        </w:tabs>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O projeto versa sobre matéria de competência do Município em face do interesse local, encontrando amparo no artigo 30, inciso I da Constituição da República Federativa do Brasil, e nos</w:t>
      </w:r>
      <w:r w:rsidR="00594210" w:rsidRPr="002C7EA2">
        <w:rPr>
          <w:rFonts w:ascii="Times New Roman" w:hAnsi="Times New Roman" w:cs="Times New Roman"/>
          <w:sz w:val="24"/>
          <w:szCs w:val="24"/>
        </w:rPr>
        <w:t xml:space="preserve"> termos do artigo 10, I, “r</w:t>
      </w:r>
      <w:r w:rsidR="0013720E" w:rsidRPr="002C7EA2">
        <w:rPr>
          <w:rFonts w:ascii="Times New Roman" w:hAnsi="Times New Roman" w:cs="Times New Roman"/>
          <w:sz w:val="24"/>
          <w:szCs w:val="24"/>
        </w:rPr>
        <w:t>”</w:t>
      </w:r>
      <w:r w:rsidR="00A81B1B" w:rsidRPr="002C7EA2">
        <w:rPr>
          <w:rFonts w:ascii="Times New Roman" w:hAnsi="Times New Roman" w:cs="Times New Roman"/>
          <w:sz w:val="24"/>
          <w:szCs w:val="24"/>
        </w:rPr>
        <w:t>, item 1</w:t>
      </w:r>
      <w:r w:rsidR="006E1518" w:rsidRPr="002C7EA2">
        <w:rPr>
          <w:rFonts w:ascii="Times New Roman" w:hAnsi="Times New Roman" w:cs="Times New Roman"/>
          <w:sz w:val="24"/>
          <w:szCs w:val="24"/>
        </w:rPr>
        <w:t>,</w:t>
      </w:r>
      <w:r w:rsidR="0013720E" w:rsidRPr="002C7EA2">
        <w:rPr>
          <w:rFonts w:ascii="Times New Roman" w:hAnsi="Times New Roman" w:cs="Times New Roman"/>
          <w:b/>
          <w:sz w:val="24"/>
          <w:szCs w:val="24"/>
        </w:rPr>
        <w:t xml:space="preserve"> compete ao Município</w:t>
      </w:r>
      <w:r w:rsidR="0013720E" w:rsidRPr="002C7EA2">
        <w:rPr>
          <w:rFonts w:ascii="Times New Roman" w:hAnsi="Times New Roman" w:cs="Times New Roman"/>
          <w:sz w:val="24"/>
          <w:szCs w:val="24"/>
        </w:rPr>
        <w:t xml:space="preserve"> l</w:t>
      </w:r>
      <w:r w:rsidR="00594210" w:rsidRPr="002C7EA2">
        <w:rPr>
          <w:rFonts w:ascii="Times New Roman" w:hAnsi="Times New Roman" w:cs="Times New Roman"/>
          <w:sz w:val="24"/>
          <w:szCs w:val="24"/>
        </w:rPr>
        <w:t xml:space="preserve">egislar sobre a administração pública municipal, notadamente </w:t>
      </w:r>
      <w:r w:rsidR="00A81B1B" w:rsidRPr="002C7EA2">
        <w:rPr>
          <w:rFonts w:ascii="Times New Roman" w:hAnsi="Times New Roman" w:cs="Times New Roman"/>
          <w:sz w:val="24"/>
          <w:szCs w:val="24"/>
        </w:rPr>
        <w:t>sobre cargos, empregos e funções públicas da administração pública direta, indireta e fundacional.</w:t>
      </w:r>
    </w:p>
    <w:p w14:paraId="402EACCE" w14:textId="77777777" w:rsidR="0013720E" w:rsidRPr="002C7EA2" w:rsidRDefault="00A81B1B" w:rsidP="00812F89">
      <w:pPr>
        <w:tabs>
          <w:tab w:val="left" w:pos="2835"/>
        </w:tabs>
        <w:spacing w:after="0"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Em observância ao artigo 168, inciso II</w:t>
      </w:r>
      <w:r w:rsidR="0013720E" w:rsidRPr="002C7EA2">
        <w:rPr>
          <w:rFonts w:ascii="Times New Roman" w:hAnsi="Times New Roman" w:cs="Times New Roman"/>
          <w:sz w:val="24"/>
          <w:szCs w:val="24"/>
        </w:rPr>
        <w:t xml:space="preserve">, do Regimento Interno desta Câmara Municipal, o projeto deverá ser submetido a </w:t>
      </w:r>
      <w:r w:rsidRPr="002C7EA2">
        <w:rPr>
          <w:rFonts w:ascii="Times New Roman" w:hAnsi="Times New Roman" w:cs="Times New Roman"/>
          <w:b/>
          <w:sz w:val="24"/>
          <w:szCs w:val="24"/>
        </w:rPr>
        <w:t>dois</w:t>
      </w:r>
      <w:r w:rsidR="00905599" w:rsidRPr="002C7EA2">
        <w:rPr>
          <w:rFonts w:ascii="Times New Roman" w:hAnsi="Times New Roman" w:cs="Times New Roman"/>
          <w:b/>
          <w:sz w:val="24"/>
          <w:szCs w:val="24"/>
        </w:rPr>
        <w:t xml:space="preserve"> turno</w:t>
      </w:r>
      <w:r w:rsidRPr="002C7EA2">
        <w:rPr>
          <w:rFonts w:ascii="Times New Roman" w:hAnsi="Times New Roman" w:cs="Times New Roman"/>
          <w:b/>
          <w:sz w:val="24"/>
          <w:szCs w:val="24"/>
        </w:rPr>
        <w:t>s</w:t>
      </w:r>
      <w:r w:rsidR="0013720E" w:rsidRPr="002C7EA2">
        <w:rPr>
          <w:rFonts w:ascii="Times New Roman" w:hAnsi="Times New Roman" w:cs="Times New Roman"/>
          <w:b/>
          <w:sz w:val="24"/>
          <w:szCs w:val="24"/>
        </w:rPr>
        <w:t xml:space="preserve"> de discussão e votação</w:t>
      </w:r>
      <w:r w:rsidR="0013720E" w:rsidRPr="002C7EA2">
        <w:rPr>
          <w:rFonts w:ascii="Times New Roman" w:hAnsi="Times New Roman" w:cs="Times New Roman"/>
          <w:sz w:val="24"/>
          <w:szCs w:val="24"/>
        </w:rPr>
        <w:t>.</w:t>
      </w:r>
    </w:p>
    <w:p w14:paraId="59A842AF" w14:textId="77777777" w:rsidR="00BE2979" w:rsidRPr="002C7EA2" w:rsidRDefault="00BE631F" w:rsidP="002C7EA2">
      <w:pPr>
        <w:spacing w:after="0"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 xml:space="preserve">Ademais, em virtude da natureza de </w:t>
      </w:r>
      <w:r w:rsidRPr="002C7EA2">
        <w:rPr>
          <w:rFonts w:ascii="Times New Roman" w:hAnsi="Times New Roman" w:cs="Times New Roman"/>
          <w:b/>
          <w:sz w:val="24"/>
          <w:szCs w:val="24"/>
        </w:rPr>
        <w:t>Lei Complementar</w:t>
      </w:r>
      <w:r w:rsidRPr="002C7EA2">
        <w:rPr>
          <w:rFonts w:ascii="Times New Roman" w:hAnsi="Times New Roman" w:cs="Times New Roman"/>
          <w:sz w:val="24"/>
          <w:szCs w:val="24"/>
        </w:rPr>
        <w:t xml:space="preserve">, o projeto deverá ser aprovado mediante quórum de </w:t>
      </w:r>
      <w:r w:rsidRPr="002C7EA2">
        <w:rPr>
          <w:rFonts w:ascii="Times New Roman" w:hAnsi="Times New Roman" w:cs="Times New Roman"/>
          <w:b/>
          <w:sz w:val="24"/>
          <w:szCs w:val="24"/>
        </w:rPr>
        <w:t>maioria absoluta</w:t>
      </w:r>
      <w:r w:rsidRPr="002C7EA2">
        <w:rPr>
          <w:rFonts w:ascii="Times New Roman" w:hAnsi="Times New Roman" w:cs="Times New Roman"/>
          <w:sz w:val="24"/>
          <w:szCs w:val="24"/>
        </w:rPr>
        <w:t>, qual seja: mínimo de 05 (cinco) votos favoráveis.</w:t>
      </w:r>
    </w:p>
    <w:p w14:paraId="27132A56" w14:textId="77777777" w:rsidR="006E1518" w:rsidRDefault="006E1518" w:rsidP="0026208E">
      <w:pPr>
        <w:tabs>
          <w:tab w:val="left" w:pos="2835"/>
        </w:tabs>
        <w:spacing w:after="0" w:line="360" w:lineRule="auto"/>
        <w:jc w:val="both"/>
        <w:rPr>
          <w:rFonts w:ascii="Times New Roman" w:hAnsi="Times New Roman" w:cs="Times New Roman"/>
          <w:sz w:val="24"/>
          <w:szCs w:val="24"/>
        </w:rPr>
      </w:pPr>
    </w:p>
    <w:p w14:paraId="0AF0B01C" w14:textId="77777777" w:rsidR="00BA2899" w:rsidRDefault="00BA2899" w:rsidP="0026208E">
      <w:pPr>
        <w:tabs>
          <w:tab w:val="left" w:pos="2835"/>
        </w:tabs>
        <w:spacing w:after="0" w:line="360" w:lineRule="auto"/>
        <w:jc w:val="both"/>
        <w:rPr>
          <w:rFonts w:ascii="Times New Roman" w:hAnsi="Times New Roman" w:cs="Times New Roman"/>
          <w:sz w:val="24"/>
          <w:szCs w:val="24"/>
        </w:rPr>
      </w:pPr>
    </w:p>
    <w:p w14:paraId="3DA14ADF" w14:textId="77777777" w:rsidR="00BA2899" w:rsidRPr="002C7EA2" w:rsidRDefault="00BA2899" w:rsidP="0026208E">
      <w:pPr>
        <w:tabs>
          <w:tab w:val="left" w:pos="2835"/>
        </w:tabs>
        <w:spacing w:after="0" w:line="360" w:lineRule="auto"/>
        <w:jc w:val="both"/>
        <w:rPr>
          <w:rFonts w:ascii="Times New Roman" w:hAnsi="Times New Roman" w:cs="Times New Roman"/>
          <w:sz w:val="24"/>
          <w:szCs w:val="24"/>
        </w:rPr>
      </w:pPr>
    </w:p>
    <w:p w14:paraId="254BFB43" w14:textId="77777777" w:rsidR="00A81B1B" w:rsidRDefault="00812F89" w:rsidP="00A81B1B">
      <w:pPr>
        <w:pStyle w:val="PargrafodaLista"/>
        <w:numPr>
          <w:ilvl w:val="0"/>
          <w:numId w:val="1"/>
        </w:numPr>
        <w:spacing w:line="360" w:lineRule="auto"/>
        <w:jc w:val="both"/>
        <w:rPr>
          <w:rFonts w:ascii="Times New Roman" w:hAnsi="Times New Roman" w:cs="Times New Roman"/>
          <w:b/>
          <w:sz w:val="24"/>
          <w:szCs w:val="24"/>
        </w:rPr>
      </w:pPr>
      <w:r w:rsidRPr="002C7EA2">
        <w:rPr>
          <w:rFonts w:ascii="Times New Roman" w:hAnsi="Times New Roman" w:cs="Times New Roman"/>
          <w:b/>
          <w:sz w:val="24"/>
          <w:szCs w:val="24"/>
        </w:rPr>
        <w:t>LEGISLAÇÃO VIGENTE</w:t>
      </w:r>
    </w:p>
    <w:p w14:paraId="6EF300E5" w14:textId="77777777" w:rsidR="002C7EA2" w:rsidRDefault="002C7EA2" w:rsidP="002C7EA2">
      <w:pPr>
        <w:pStyle w:val="PargrafodaLista"/>
        <w:spacing w:line="360" w:lineRule="auto"/>
        <w:ind w:left="1080"/>
        <w:jc w:val="both"/>
        <w:rPr>
          <w:rFonts w:ascii="Times New Roman" w:hAnsi="Times New Roman" w:cs="Times New Roman"/>
          <w:b/>
          <w:sz w:val="24"/>
          <w:szCs w:val="24"/>
        </w:rPr>
      </w:pPr>
    </w:p>
    <w:p w14:paraId="7B763CEF" w14:textId="77777777" w:rsidR="002C7EA2" w:rsidRPr="002C7EA2" w:rsidRDefault="005A250D" w:rsidP="002C7EA2">
      <w:pPr>
        <w:pStyle w:val="PargrafodaLista"/>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Dos cargos públicos</w:t>
      </w:r>
    </w:p>
    <w:p w14:paraId="020CA4D3" w14:textId="77777777" w:rsidR="00A202A9" w:rsidRDefault="00A202A9" w:rsidP="00BE631F">
      <w:pPr>
        <w:spacing w:after="0" w:line="360" w:lineRule="auto"/>
        <w:ind w:left="3402"/>
        <w:jc w:val="both"/>
        <w:rPr>
          <w:rFonts w:ascii="Times New Roman" w:hAnsi="Times New Roman" w:cs="Times New Roman"/>
          <w:sz w:val="24"/>
          <w:szCs w:val="24"/>
        </w:rPr>
      </w:pPr>
    </w:p>
    <w:p w14:paraId="3A1BD9D7" w14:textId="60A5AE63" w:rsidR="00A202A9" w:rsidRDefault="00A202A9" w:rsidP="00A202A9">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A Constituição Federal determina</w:t>
      </w:r>
      <w:r w:rsidR="005A250D">
        <w:rPr>
          <w:rFonts w:ascii="Times New Roman" w:hAnsi="Times New Roman" w:cs="Times New Roman"/>
          <w:sz w:val="24"/>
          <w:szCs w:val="24"/>
        </w:rPr>
        <w:t>,</w:t>
      </w:r>
      <w:r>
        <w:rPr>
          <w:rFonts w:ascii="Times New Roman" w:hAnsi="Times New Roman" w:cs="Times New Roman"/>
          <w:sz w:val="24"/>
          <w:szCs w:val="24"/>
        </w:rPr>
        <w:t xml:space="preserve"> </w:t>
      </w:r>
      <w:r w:rsidRPr="005A250D">
        <w:rPr>
          <w:rFonts w:ascii="Times New Roman" w:hAnsi="Times New Roman" w:cs="Times New Roman"/>
          <w:b/>
          <w:sz w:val="24"/>
          <w:szCs w:val="24"/>
        </w:rPr>
        <w:t>expressamente</w:t>
      </w:r>
      <w:r w:rsidR="005A250D">
        <w:rPr>
          <w:rFonts w:ascii="Times New Roman" w:hAnsi="Times New Roman" w:cs="Times New Roman"/>
          <w:sz w:val="24"/>
          <w:szCs w:val="24"/>
        </w:rPr>
        <w:t>,</w:t>
      </w:r>
      <w:r>
        <w:rPr>
          <w:rFonts w:ascii="Times New Roman" w:hAnsi="Times New Roman" w:cs="Times New Roman"/>
          <w:sz w:val="24"/>
          <w:szCs w:val="24"/>
        </w:rPr>
        <w:t xml:space="preserve"> as formas de </w:t>
      </w:r>
      <w:r w:rsidR="00B35D6D">
        <w:rPr>
          <w:rFonts w:ascii="Times New Roman" w:hAnsi="Times New Roman" w:cs="Times New Roman"/>
          <w:sz w:val="24"/>
          <w:szCs w:val="24"/>
        </w:rPr>
        <w:t>investidura</w:t>
      </w:r>
      <w:r>
        <w:rPr>
          <w:rFonts w:ascii="Times New Roman" w:hAnsi="Times New Roman" w:cs="Times New Roman"/>
          <w:sz w:val="24"/>
          <w:szCs w:val="24"/>
        </w:rPr>
        <w:t xml:space="preserve"> a cargos públicos, senão vejamos:</w:t>
      </w:r>
    </w:p>
    <w:p w14:paraId="5980E6DF" w14:textId="77777777" w:rsidR="00A202A9" w:rsidRPr="005A250D" w:rsidRDefault="00A202A9" w:rsidP="00922590">
      <w:pPr>
        <w:spacing w:after="0" w:line="360" w:lineRule="auto"/>
        <w:ind w:left="3402"/>
        <w:jc w:val="both"/>
        <w:rPr>
          <w:rFonts w:ascii="Times New Roman" w:hAnsi="Times New Roman" w:cs="Times New Roman"/>
          <w:b/>
          <w:sz w:val="20"/>
          <w:szCs w:val="20"/>
        </w:rPr>
      </w:pPr>
      <w:r w:rsidRPr="005A250D">
        <w:rPr>
          <w:rFonts w:ascii="Times New Roman" w:hAnsi="Times New Roman" w:cs="Times New Roman"/>
          <w:b/>
          <w:sz w:val="20"/>
          <w:szCs w:val="20"/>
        </w:rPr>
        <w:t>Artigo 37 (...)</w:t>
      </w:r>
    </w:p>
    <w:p w14:paraId="4125DAB8" w14:textId="77777777" w:rsidR="00A202A9" w:rsidRPr="00922590" w:rsidRDefault="00A202A9" w:rsidP="00922590">
      <w:pPr>
        <w:spacing w:after="0" w:line="360" w:lineRule="auto"/>
        <w:ind w:left="3402"/>
        <w:jc w:val="both"/>
        <w:rPr>
          <w:rFonts w:ascii="Times New Roman" w:hAnsi="Times New Roman" w:cs="Times New Roman"/>
          <w:sz w:val="20"/>
          <w:szCs w:val="20"/>
        </w:rPr>
      </w:pPr>
      <w:r w:rsidRPr="00922590">
        <w:rPr>
          <w:rFonts w:ascii="Times New Roman" w:hAnsi="Times New Roman" w:cs="Times New Roman"/>
          <w:sz w:val="20"/>
          <w:szCs w:val="20"/>
        </w:rPr>
        <w:t>I (...)</w:t>
      </w:r>
    </w:p>
    <w:p w14:paraId="64449949" w14:textId="77777777" w:rsidR="00A202A9" w:rsidRDefault="00A202A9" w:rsidP="00922590">
      <w:pPr>
        <w:spacing w:after="0" w:line="360" w:lineRule="auto"/>
        <w:ind w:left="3402"/>
        <w:jc w:val="both"/>
        <w:rPr>
          <w:rFonts w:ascii="Times New Roman" w:hAnsi="Times New Roman" w:cs="Times New Roman"/>
          <w:sz w:val="20"/>
          <w:szCs w:val="20"/>
        </w:rPr>
      </w:pPr>
      <w:r w:rsidRPr="005A250D">
        <w:rPr>
          <w:rFonts w:ascii="Times New Roman" w:hAnsi="Times New Roman" w:cs="Times New Roman"/>
          <w:b/>
          <w:sz w:val="20"/>
          <w:szCs w:val="20"/>
        </w:rPr>
        <w:t>II –</w:t>
      </w:r>
      <w:r w:rsidRPr="00922590">
        <w:rPr>
          <w:rFonts w:ascii="Times New Roman" w:hAnsi="Times New Roman" w:cs="Times New Roman"/>
          <w:sz w:val="20"/>
          <w:szCs w:val="20"/>
        </w:rPr>
        <w:t xml:space="preserve"> A investidura em </w:t>
      </w:r>
      <w:r w:rsidRPr="00922590">
        <w:rPr>
          <w:rFonts w:ascii="Times New Roman" w:hAnsi="Times New Roman" w:cs="Times New Roman"/>
          <w:b/>
          <w:sz w:val="20"/>
          <w:szCs w:val="20"/>
        </w:rPr>
        <w:t>cargo ou emprego público depende de aprovação prévia em concurso público</w:t>
      </w:r>
      <w:r w:rsidRPr="00922590">
        <w:rPr>
          <w:rFonts w:ascii="Times New Roman" w:hAnsi="Times New Roman" w:cs="Times New Roman"/>
          <w:sz w:val="20"/>
          <w:szCs w:val="20"/>
        </w:rPr>
        <w:t xml:space="preserve"> de provas ou de provas e títulos</w:t>
      </w:r>
      <w:r w:rsidR="00922590" w:rsidRPr="00922590">
        <w:rPr>
          <w:rFonts w:ascii="Times New Roman" w:hAnsi="Times New Roman" w:cs="Times New Roman"/>
          <w:sz w:val="20"/>
          <w:szCs w:val="20"/>
        </w:rPr>
        <w:t xml:space="preserve">, de acordo com a natureza e complexidade do cargo ou emprego, na forma prevista em lei, </w:t>
      </w:r>
      <w:r w:rsidR="00922590" w:rsidRPr="00922590">
        <w:rPr>
          <w:rFonts w:ascii="Times New Roman" w:hAnsi="Times New Roman" w:cs="Times New Roman"/>
          <w:b/>
          <w:sz w:val="20"/>
          <w:szCs w:val="20"/>
        </w:rPr>
        <w:t xml:space="preserve">ressalvada as nomeações para cargo em comissão </w:t>
      </w:r>
      <w:r w:rsidR="00922590" w:rsidRPr="00922590">
        <w:rPr>
          <w:rFonts w:ascii="Times New Roman" w:hAnsi="Times New Roman" w:cs="Times New Roman"/>
          <w:sz w:val="20"/>
          <w:szCs w:val="20"/>
        </w:rPr>
        <w:t>declarado em lei de livre nomeação e exoneração.</w:t>
      </w:r>
    </w:p>
    <w:p w14:paraId="36B97A8F" w14:textId="77777777" w:rsidR="005A250D" w:rsidRDefault="005A250D" w:rsidP="00922590">
      <w:pPr>
        <w:spacing w:after="0" w:line="360" w:lineRule="auto"/>
        <w:ind w:left="3402"/>
        <w:jc w:val="both"/>
        <w:rPr>
          <w:rFonts w:ascii="Times New Roman" w:hAnsi="Times New Roman" w:cs="Times New Roman"/>
          <w:sz w:val="20"/>
          <w:szCs w:val="20"/>
        </w:rPr>
      </w:pPr>
    </w:p>
    <w:p w14:paraId="049F8F27" w14:textId="77777777" w:rsidR="005A250D" w:rsidRDefault="005A250D" w:rsidP="00922590">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Em outra perspectiva, o inciso V do artigo 37 dispõe que:</w:t>
      </w:r>
    </w:p>
    <w:p w14:paraId="78437E6A" w14:textId="77777777" w:rsidR="005A250D" w:rsidRPr="005A250D" w:rsidRDefault="005A250D" w:rsidP="005A250D">
      <w:pPr>
        <w:spacing w:after="0" w:line="360" w:lineRule="auto"/>
        <w:ind w:left="3402"/>
        <w:jc w:val="both"/>
        <w:rPr>
          <w:rFonts w:ascii="Times New Roman" w:hAnsi="Times New Roman" w:cs="Times New Roman"/>
          <w:b/>
          <w:sz w:val="20"/>
          <w:szCs w:val="20"/>
        </w:rPr>
      </w:pPr>
      <w:r w:rsidRPr="005A250D">
        <w:rPr>
          <w:rFonts w:ascii="Times New Roman" w:hAnsi="Times New Roman" w:cs="Times New Roman"/>
          <w:b/>
          <w:sz w:val="20"/>
          <w:szCs w:val="20"/>
        </w:rPr>
        <w:t>Artigo 37 (...)</w:t>
      </w:r>
    </w:p>
    <w:p w14:paraId="5055B200" w14:textId="77777777" w:rsidR="005A250D" w:rsidRDefault="005A250D" w:rsidP="005A250D">
      <w:pPr>
        <w:spacing w:after="0" w:line="360" w:lineRule="auto"/>
        <w:ind w:left="3402"/>
        <w:jc w:val="both"/>
        <w:rPr>
          <w:rFonts w:ascii="Times New Roman" w:hAnsi="Times New Roman" w:cs="Times New Roman"/>
          <w:sz w:val="20"/>
          <w:szCs w:val="20"/>
        </w:rPr>
      </w:pPr>
      <w:r w:rsidRPr="005A250D">
        <w:rPr>
          <w:rFonts w:ascii="Times New Roman" w:hAnsi="Times New Roman" w:cs="Times New Roman"/>
          <w:b/>
          <w:sz w:val="20"/>
          <w:szCs w:val="20"/>
        </w:rPr>
        <w:t>V –</w:t>
      </w:r>
      <w:r w:rsidRPr="005A250D">
        <w:rPr>
          <w:rFonts w:ascii="Times New Roman" w:hAnsi="Times New Roman" w:cs="Times New Roman"/>
          <w:sz w:val="20"/>
          <w:szCs w:val="20"/>
        </w:rPr>
        <w:t xml:space="preserve"> As </w:t>
      </w:r>
      <w:r w:rsidRPr="005A250D">
        <w:rPr>
          <w:rFonts w:ascii="Times New Roman" w:hAnsi="Times New Roman" w:cs="Times New Roman"/>
          <w:b/>
          <w:sz w:val="20"/>
          <w:szCs w:val="20"/>
        </w:rPr>
        <w:t>funções de confiança</w:t>
      </w:r>
      <w:r w:rsidRPr="005A250D">
        <w:rPr>
          <w:rFonts w:ascii="Times New Roman" w:hAnsi="Times New Roman" w:cs="Times New Roman"/>
          <w:sz w:val="20"/>
          <w:szCs w:val="20"/>
        </w:rPr>
        <w:t xml:space="preserve">, exercidas exclusivamente por </w:t>
      </w:r>
      <w:r w:rsidRPr="005A250D">
        <w:rPr>
          <w:rFonts w:ascii="Times New Roman" w:hAnsi="Times New Roman" w:cs="Times New Roman"/>
          <w:b/>
          <w:sz w:val="20"/>
          <w:szCs w:val="20"/>
        </w:rPr>
        <w:t>servidores ocupantes de cargo efetivo,</w:t>
      </w:r>
      <w:r w:rsidRPr="005A250D">
        <w:rPr>
          <w:rFonts w:ascii="Times New Roman" w:hAnsi="Times New Roman" w:cs="Times New Roman"/>
          <w:sz w:val="20"/>
          <w:szCs w:val="20"/>
        </w:rPr>
        <w:t xml:space="preserve"> e os cargos em comissão, a serem preenchidos por servidores de carreira nos casos, condições e percentuais mínimos previstos em lei, destinam-se apenas às </w:t>
      </w:r>
      <w:r w:rsidRPr="005A250D">
        <w:rPr>
          <w:rFonts w:ascii="Times New Roman" w:hAnsi="Times New Roman" w:cs="Times New Roman"/>
          <w:b/>
          <w:sz w:val="20"/>
          <w:szCs w:val="20"/>
        </w:rPr>
        <w:t>atribuições de direção, chefia e assessoramento</w:t>
      </w:r>
      <w:r w:rsidRPr="005A250D">
        <w:rPr>
          <w:rFonts w:ascii="Times New Roman" w:hAnsi="Times New Roman" w:cs="Times New Roman"/>
          <w:sz w:val="20"/>
          <w:szCs w:val="20"/>
        </w:rPr>
        <w:t>.</w:t>
      </w:r>
    </w:p>
    <w:p w14:paraId="029A8FD5" w14:textId="77777777" w:rsidR="005A250D" w:rsidRPr="005A250D" w:rsidRDefault="005A250D" w:rsidP="005A250D">
      <w:pPr>
        <w:spacing w:after="0" w:line="360" w:lineRule="auto"/>
        <w:ind w:left="3402"/>
        <w:jc w:val="both"/>
        <w:rPr>
          <w:rFonts w:ascii="Times New Roman" w:hAnsi="Times New Roman" w:cs="Times New Roman"/>
          <w:sz w:val="20"/>
          <w:szCs w:val="20"/>
        </w:rPr>
      </w:pPr>
    </w:p>
    <w:p w14:paraId="7E8C8C15" w14:textId="77777777" w:rsidR="005A250D" w:rsidRDefault="005A250D" w:rsidP="005A250D">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Pela literalidade da norma, não resta dúvida sobre a existência de </w:t>
      </w:r>
      <w:r w:rsidRPr="007822CA">
        <w:rPr>
          <w:rFonts w:ascii="Times New Roman" w:hAnsi="Times New Roman" w:cs="Times New Roman"/>
          <w:sz w:val="24"/>
          <w:szCs w:val="24"/>
        </w:rPr>
        <w:t>apenas duas formas de acesso a cargos públicos:</w:t>
      </w:r>
      <w:r>
        <w:rPr>
          <w:rFonts w:ascii="Times New Roman" w:hAnsi="Times New Roman" w:cs="Times New Roman"/>
          <w:sz w:val="24"/>
          <w:szCs w:val="24"/>
        </w:rPr>
        <w:t xml:space="preserve"> aprovação em concurso público ou nomeação para cargo em comissão. Por sua vez, servidores de cargos efetivos poder</w:t>
      </w:r>
      <w:r w:rsidR="007822CA">
        <w:rPr>
          <w:rFonts w:ascii="Times New Roman" w:hAnsi="Times New Roman" w:cs="Times New Roman"/>
          <w:sz w:val="24"/>
          <w:szCs w:val="24"/>
        </w:rPr>
        <w:t xml:space="preserve">ão exercer </w:t>
      </w:r>
      <w:r>
        <w:rPr>
          <w:rFonts w:ascii="Times New Roman" w:hAnsi="Times New Roman" w:cs="Times New Roman"/>
          <w:sz w:val="24"/>
          <w:szCs w:val="24"/>
        </w:rPr>
        <w:t>atribuições de direção, chefia e assessoramento atr</w:t>
      </w:r>
      <w:r w:rsidR="007822CA">
        <w:rPr>
          <w:rFonts w:ascii="Times New Roman" w:hAnsi="Times New Roman" w:cs="Times New Roman"/>
          <w:sz w:val="24"/>
          <w:szCs w:val="24"/>
        </w:rPr>
        <w:t xml:space="preserve">avés da designação para </w:t>
      </w:r>
      <w:r w:rsidR="007822CA" w:rsidRPr="00B35D6D">
        <w:rPr>
          <w:rFonts w:ascii="Times New Roman" w:hAnsi="Times New Roman" w:cs="Times New Roman"/>
          <w:b/>
          <w:bCs/>
          <w:sz w:val="24"/>
          <w:szCs w:val="24"/>
        </w:rPr>
        <w:t>função de confiança</w:t>
      </w:r>
      <w:r w:rsidR="007822CA">
        <w:rPr>
          <w:rFonts w:ascii="Times New Roman" w:hAnsi="Times New Roman" w:cs="Times New Roman"/>
          <w:sz w:val="24"/>
          <w:szCs w:val="24"/>
        </w:rPr>
        <w:t xml:space="preserve"> ou nomeação para cargo em comissão.</w:t>
      </w:r>
    </w:p>
    <w:p w14:paraId="70E6FA30" w14:textId="77777777" w:rsidR="007822CA" w:rsidRDefault="007822CA" w:rsidP="007822CA">
      <w:pPr>
        <w:spacing w:after="0" w:line="360" w:lineRule="auto"/>
        <w:jc w:val="both"/>
        <w:rPr>
          <w:rFonts w:ascii="Times New Roman" w:hAnsi="Times New Roman" w:cs="Times New Roman"/>
          <w:sz w:val="24"/>
          <w:szCs w:val="24"/>
        </w:rPr>
      </w:pPr>
    </w:p>
    <w:p w14:paraId="1579EA80" w14:textId="77777777" w:rsidR="00BA2899" w:rsidRDefault="00BA2899" w:rsidP="007822CA">
      <w:pPr>
        <w:spacing w:after="0" w:line="360" w:lineRule="auto"/>
        <w:jc w:val="both"/>
        <w:rPr>
          <w:rFonts w:ascii="Times New Roman" w:hAnsi="Times New Roman" w:cs="Times New Roman"/>
          <w:sz w:val="24"/>
          <w:szCs w:val="24"/>
        </w:rPr>
      </w:pPr>
    </w:p>
    <w:p w14:paraId="21DE85A3" w14:textId="5855030C" w:rsidR="007822CA" w:rsidRPr="00F12858" w:rsidRDefault="007822CA" w:rsidP="00F12858">
      <w:pPr>
        <w:pStyle w:val="PargrafodaLista"/>
        <w:numPr>
          <w:ilvl w:val="0"/>
          <w:numId w:val="3"/>
        </w:numPr>
        <w:spacing w:after="0" w:line="360" w:lineRule="auto"/>
        <w:jc w:val="both"/>
        <w:rPr>
          <w:rFonts w:ascii="Times New Roman" w:hAnsi="Times New Roman" w:cs="Times New Roman"/>
          <w:b/>
          <w:sz w:val="24"/>
          <w:szCs w:val="24"/>
        </w:rPr>
      </w:pPr>
      <w:r w:rsidRPr="007822CA">
        <w:rPr>
          <w:rFonts w:ascii="Times New Roman" w:hAnsi="Times New Roman" w:cs="Times New Roman"/>
          <w:b/>
          <w:sz w:val="24"/>
          <w:szCs w:val="24"/>
        </w:rPr>
        <w:t>Da nova lei de licitações e contratos administrativos</w:t>
      </w:r>
    </w:p>
    <w:p w14:paraId="70B99461" w14:textId="77777777" w:rsidR="007822CA" w:rsidRPr="002C7EA2" w:rsidRDefault="007822CA" w:rsidP="007822CA">
      <w:pPr>
        <w:spacing w:after="0"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Nos termos da Constituição Federal:</w:t>
      </w:r>
    </w:p>
    <w:p w14:paraId="1A7E4919" w14:textId="77777777" w:rsidR="007822CA" w:rsidRPr="005B4AA7" w:rsidRDefault="007822CA" w:rsidP="007822CA">
      <w:pPr>
        <w:spacing w:after="0" w:line="360" w:lineRule="auto"/>
        <w:ind w:left="3402"/>
        <w:jc w:val="both"/>
        <w:rPr>
          <w:rFonts w:ascii="Times New Roman" w:hAnsi="Times New Roman" w:cs="Times New Roman"/>
          <w:sz w:val="20"/>
          <w:szCs w:val="20"/>
        </w:rPr>
      </w:pPr>
      <w:r w:rsidRPr="005B4AA7">
        <w:rPr>
          <w:rFonts w:ascii="Times New Roman" w:hAnsi="Times New Roman" w:cs="Times New Roman"/>
          <w:b/>
          <w:sz w:val="20"/>
          <w:szCs w:val="20"/>
        </w:rPr>
        <w:t>Artigo 22</w:t>
      </w:r>
      <w:r w:rsidRPr="005B4AA7">
        <w:rPr>
          <w:rFonts w:ascii="Times New Roman" w:hAnsi="Times New Roman" w:cs="Times New Roman"/>
          <w:sz w:val="20"/>
          <w:szCs w:val="20"/>
        </w:rPr>
        <w:t xml:space="preserve"> – Compete privativamente à União legislar sobre:</w:t>
      </w:r>
    </w:p>
    <w:p w14:paraId="79C7014C" w14:textId="77777777" w:rsidR="007822CA" w:rsidRPr="005B4AA7" w:rsidRDefault="007822CA" w:rsidP="007822CA">
      <w:pPr>
        <w:spacing w:after="0" w:line="360" w:lineRule="auto"/>
        <w:ind w:left="3402"/>
        <w:jc w:val="both"/>
        <w:rPr>
          <w:rFonts w:ascii="Times New Roman" w:hAnsi="Times New Roman" w:cs="Times New Roman"/>
          <w:sz w:val="20"/>
          <w:szCs w:val="20"/>
        </w:rPr>
      </w:pPr>
      <w:r w:rsidRPr="005B4AA7">
        <w:rPr>
          <w:rFonts w:ascii="Times New Roman" w:hAnsi="Times New Roman" w:cs="Times New Roman"/>
          <w:sz w:val="20"/>
          <w:szCs w:val="20"/>
        </w:rPr>
        <w:lastRenderedPageBreak/>
        <w:t>(...)</w:t>
      </w:r>
    </w:p>
    <w:p w14:paraId="6289A9CF" w14:textId="77777777" w:rsidR="007822CA" w:rsidRDefault="007822CA" w:rsidP="007822CA">
      <w:pPr>
        <w:spacing w:after="0" w:line="360" w:lineRule="auto"/>
        <w:ind w:left="3402"/>
        <w:jc w:val="both"/>
        <w:rPr>
          <w:rFonts w:ascii="Times New Roman" w:hAnsi="Times New Roman" w:cs="Times New Roman"/>
          <w:sz w:val="20"/>
          <w:szCs w:val="20"/>
        </w:rPr>
      </w:pPr>
      <w:r w:rsidRPr="005B4AA7">
        <w:rPr>
          <w:rFonts w:ascii="Times New Roman" w:hAnsi="Times New Roman" w:cs="Times New Roman"/>
          <w:b/>
          <w:sz w:val="20"/>
          <w:szCs w:val="20"/>
        </w:rPr>
        <w:t>XXVII –</w:t>
      </w:r>
      <w:r w:rsidRPr="005B4AA7">
        <w:rPr>
          <w:rFonts w:ascii="Times New Roman" w:hAnsi="Times New Roman" w:cs="Times New Roman"/>
          <w:sz w:val="20"/>
          <w:szCs w:val="20"/>
        </w:rPr>
        <w:t xml:space="preserve"> Normas gerais de licitação e contratação, em todas as modalidades, para as administrações públicas diretas, autárquicas e fundacionais da União da União, Estados, Distrito Federal e Municípios (...)</w:t>
      </w:r>
    </w:p>
    <w:p w14:paraId="564444F0" w14:textId="77777777" w:rsidR="007822CA" w:rsidRPr="005B4AA7" w:rsidRDefault="007822CA" w:rsidP="007822CA">
      <w:pPr>
        <w:spacing w:after="0" w:line="360" w:lineRule="auto"/>
        <w:ind w:left="3402"/>
        <w:jc w:val="both"/>
        <w:rPr>
          <w:rFonts w:ascii="Times New Roman" w:hAnsi="Times New Roman" w:cs="Times New Roman"/>
          <w:sz w:val="20"/>
          <w:szCs w:val="20"/>
        </w:rPr>
      </w:pPr>
    </w:p>
    <w:p w14:paraId="141583C1" w14:textId="77777777" w:rsidR="007822CA" w:rsidRPr="005B4AA7" w:rsidRDefault="007822CA" w:rsidP="007822CA">
      <w:pPr>
        <w:spacing w:after="0" w:line="360" w:lineRule="auto"/>
        <w:ind w:left="3402"/>
        <w:jc w:val="both"/>
        <w:rPr>
          <w:rFonts w:ascii="Times New Roman" w:hAnsi="Times New Roman" w:cs="Times New Roman"/>
          <w:sz w:val="20"/>
          <w:szCs w:val="20"/>
        </w:rPr>
      </w:pPr>
      <w:r w:rsidRPr="005B4AA7">
        <w:rPr>
          <w:rFonts w:ascii="Times New Roman" w:hAnsi="Times New Roman" w:cs="Times New Roman"/>
          <w:b/>
          <w:sz w:val="20"/>
          <w:szCs w:val="20"/>
        </w:rPr>
        <w:t>Artigo 30</w:t>
      </w:r>
      <w:r w:rsidRPr="005B4AA7">
        <w:rPr>
          <w:rFonts w:ascii="Times New Roman" w:hAnsi="Times New Roman" w:cs="Times New Roman"/>
          <w:sz w:val="20"/>
          <w:szCs w:val="20"/>
        </w:rPr>
        <w:t xml:space="preserve"> – Compete aos Municípios:</w:t>
      </w:r>
    </w:p>
    <w:p w14:paraId="186C516B" w14:textId="77777777" w:rsidR="007822CA" w:rsidRPr="005B4AA7" w:rsidRDefault="007822CA" w:rsidP="007822CA">
      <w:pPr>
        <w:spacing w:after="0" w:line="360" w:lineRule="auto"/>
        <w:ind w:left="3402"/>
        <w:jc w:val="both"/>
        <w:rPr>
          <w:rFonts w:ascii="Times New Roman" w:hAnsi="Times New Roman" w:cs="Times New Roman"/>
          <w:sz w:val="20"/>
          <w:szCs w:val="20"/>
        </w:rPr>
      </w:pPr>
      <w:r w:rsidRPr="005B4AA7">
        <w:rPr>
          <w:rFonts w:ascii="Times New Roman" w:hAnsi="Times New Roman" w:cs="Times New Roman"/>
          <w:sz w:val="20"/>
          <w:szCs w:val="20"/>
        </w:rPr>
        <w:t>(...)</w:t>
      </w:r>
    </w:p>
    <w:p w14:paraId="0E7C223B" w14:textId="77777777" w:rsidR="007822CA" w:rsidRPr="005B4AA7" w:rsidRDefault="007822CA" w:rsidP="007822CA">
      <w:pPr>
        <w:spacing w:after="0" w:line="360" w:lineRule="auto"/>
        <w:ind w:left="3402"/>
        <w:jc w:val="both"/>
        <w:rPr>
          <w:rFonts w:ascii="Times New Roman" w:hAnsi="Times New Roman" w:cs="Times New Roman"/>
          <w:sz w:val="20"/>
          <w:szCs w:val="20"/>
        </w:rPr>
      </w:pPr>
      <w:r w:rsidRPr="005B4AA7">
        <w:rPr>
          <w:rFonts w:ascii="Times New Roman" w:hAnsi="Times New Roman" w:cs="Times New Roman"/>
          <w:b/>
          <w:sz w:val="20"/>
          <w:szCs w:val="20"/>
        </w:rPr>
        <w:t>II</w:t>
      </w:r>
      <w:r w:rsidRPr="005B4AA7">
        <w:rPr>
          <w:rFonts w:ascii="Times New Roman" w:hAnsi="Times New Roman" w:cs="Times New Roman"/>
          <w:sz w:val="20"/>
          <w:szCs w:val="20"/>
        </w:rPr>
        <w:t xml:space="preserve"> – Suplementar a legislação federal e estadual no que couber</w:t>
      </w:r>
    </w:p>
    <w:p w14:paraId="4B39F94A" w14:textId="77777777" w:rsidR="005A250D" w:rsidRPr="00922590" w:rsidRDefault="005A250D" w:rsidP="00922590">
      <w:pPr>
        <w:spacing w:after="0" w:line="360" w:lineRule="auto"/>
        <w:ind w:firstLine="1701"/>
        <w:jc w:val="both"/>
        <w:rPr>
          <w:rFonts w:ascii="Times New Roman" w:hAnsi="Times New Roman" w:cs="Times New Roman"/>
          <w:sz w:val="24"/>
          <w:szCs w:val="24"/>
        </w:rPr>
      </w:pPr>
    </w:p>
    <w:p w14:paraId="0A1D6D25" w14:textId="77777777" w:rsidR="00EF15CB" w:rsidRDefault="002C7EA2" w:rsidP="005B4AA7">
      <w:pPr>
        <w:spacing w:after="0" w:line="360" w:lineRule="auto"/>
        <w:ind w:firstLine="1701"/>
        <w:jc w:val="both"/>
        <w:rPr>
          <w:rFonts w:ascii="Times New Roman" w:hAnsi="Times New Roman" w:cs="Times New Roman"/>
          <w:color w:val="000000"/>
          <w:sz w:val="24"/>
          <w:szCs w:val="24"/>
        </w:rPr>
      </w:pPr>
      <w:r>
        <w:rPr>
          <w:rFonts w:ascii="Times New Roman" w:hAnsi="Times New Roman" w:cs="Times New Roman"/>
          <w:sz w:val="24"/>
          <w:szCs w:val="24"/>
        </w:rPr>
        <w:t xml:space="preserve">Em 2021, foi aprovada e sancionada a Lei Federal nº 14.133, </w:t>
      </w:r>
      <w:r w:rsidR="007822CA">
        <w:rPr>
          <w:rFonts w:ascii="Times New Roman" w:hAnsi="Times New Roman" w:cs="Times New Roman"/>
          <w:sz w:val="24"/>
          <w:szCs w:val="24"/>
        </w:rPr>
        <w:t xml:space="preserve">a qual, </w:t>
      </w:r>
      <w:r>
        <w:rPr>
          <w:rFonts w:ascii="Times New Roman" w:hAnsi="Times New Roman" w:cs="Times New Roman"/>
          <w:sz w:val="24"/>
          <w:szCs w:val="24"/>
        </w:rPr>
        <w:t xml:space="preserve">a partir de </w:t>
      </w:r>
      <w:r w:rsidR="005B4AA7">
        <w:rPr>
          <w:rFonts w:ascii="Times New Roman" w:hAnsi="Times New Roman" w:cs="Times New Roman"/>
          <w:sz w:val="24"/>
          <w:szCs w:val="24"/>
        </w:rPr>
        <w:t>30 de dezembro de 2023</w:t>
      </w:r>
      <w:r w:rsidR="007822CA">
        <w:rPr>
          <w:rFonts w:ascii="Times New Roman" w:hAnsi="Times New Roman" w:cs="Times New Roman"/>
          <w:sz w:val="24"/>
          <w:szCs w:val="24"/>
        </w:rPr>
        <w:t>,</w:t>
      </w:r>
      <w:r w:rsidR="005B4AA7">
        <w:rPr>
          <w:rFonts w:ascii="Times New Roman" w:hAnsi="Times New Roman" w:cs="Times New Roman"/>
          <w:sz w:val="24"/>
          <w:szCs w:val="24"/>
        </w:rPr>
        <w:t xml:space="preserve"> ab-rogará </w:t>
      </w:r>
      <w:r>
        <w:rPr>
          <w:rFonts w:ascii="Times New Roman" w:hAnsi="Times New Roman" w:cs="Times New Roman"/>
          <w:sz w:val="24"/>
          <w:szCs w:val="24"/>
        </w:rPr>
        <w:t>as Leis nº 8.666/93, 10</w:t>
      </w:r>
      <w:r w:rsidR="005B4AA7">
        <w:rPr>
          <w:rFonts w:ascii="Times New Roman" w:hAnsi="Times New Roman" w:cs="Times New Roman"/>
          <w:sz w:val="24"/>
          <w:szCs w:val="24"/>
        </w:rPr>
        <w:t>.520/2002 e derrogará a Lei nº 12.462/2011, passando a estabelecer</w:t>
      </w:r>
      <w:r w:rsidR="00EF15CB" w:rsidRPr="002C7EA2">
        <w:rPr>
          <w:rFonts w:ascii="Times New Roman" w:hAnsi="Times New Roman" w:cs="Times New Roman"/>
          <w:color w:val="000000"/>
          <w:sz w:val="24"/>
          <w:szCs w:val="24"/>
        </w:rPr>
        <w:t xml:space="preserve"> normas gerais de licitação e contratação para as Administrações Públicas diretas, autárquicas e fundacionais da União, dos Estados, do Distrito Federal e dos Municípios</w:t>
      </w:r>
      <w:r w:rsidR="005B4AA7">
        <w:rPr>
          <w:rFonts w:ascii="Times New Roman" w:hAnsi="Times New Roman" w:cs="Times New Roman"/>
          <w:color w:val="000000"/>
          <w:sz w:val="24"/>
          <w:szCs w:val="24"/>
        </w:rPr>
        <w:t>.</w:t>
      </w:r>
    </w:p>
    <w:p w14:paraId="0253E68A" w14:textId="77777777" w:rsidR="00285696" w:rsidRDefault="00285696" w:rsidP="00FD47D9">
      <w:pPr>
        <w:spacing w:after="0" w:line="360" w:lineRule="auto"/>
        <w:ind w:firstLine="1701"/>
        <w:jc w:val="both"/>
        <w:rPr>
          <w:rFonts w:ascii="Times New Roman" w:hAnsi="Times New Roman" w:cs="Times New Roman"/>
          <w:sz w:val="24"/>
          <w:szCs w:val="24"/>
        </w:rPr>
      </w:pPr>
    </w:p>
    <w:p w14:paraId="144C434A" w14:textId="215D474B" w:rsidR="00F12858" w:rsidRPr="00F12858" w:rsidRDefault="00AA6435" w:rsidP="00F12858">
      <w:pPr>
        <w:pStyle w:val="PargrafodaLista"/>
        <w:numPr>
          <w:ilvl w:val="0"/>
          <w:numId w:val="3"/>
        </w:numPr>
        <w:spacing w:after="0" w:line="360" w:lineRule="auto"/>
        <w:jc w:val="both"/>
        <w:rPr>
          <w:rFonts w:ascii="Times New Roman" w:hAnsi="Times New Roman" w:cs="Times New Roman"/>
          <w:b/>
          <w:bCs/>
          <w:sz w:val="24"/>
          <w:szCs w:val="24"/>
        </w:rPr>
      </w:pPr>
      <w:r w:rsidRPr="00AA6435">
        <w:rPr>
          <w:rFonts w:ascii="Times New Roman" w:hAnsi="Times New Roman" w:cs="Times New Roman"/>
          <w:b/>
          <w:bCs/>
          <w:sz w:val="24"/>
          <w:szCs w:val="24"/>
        </w:rPr>
        <w:t>Da elaboração e redação da Lei</w:t>
      </w:r>
    </w:p>
    <w:p w14:paraId="6B80AC6E" w14:textId="41665EA1" w:rsidR="00AA6435" w:rsidRDefault="00827200" w:rsidP="00827200">
      <w:pPr>
        <w:pStyle w:val="PargrafodaLista"/>
        <w:spacing w:after="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Nos termos da Lei Orgânica Municipal:</w:t>
      </w:r>
    </w:p>
    <w:p w14:paraId="5EF6589D" w14:textId="24E9E8CE" w:rsidR="00827200" w:rsidRPr="00827200" w:rsidRDefault="00827200" w:rsidP="00827200">
      <w:pPr>
        <w:spacing w:after="0" w:line="360" w:lineRule="auto"/>
        <w:ind w:left="3402"/>
        <w:jc w:val="both"/>
        <w:rPr>
          <w:rFonts w:ascii="Times New Roman" w:hAnsi="Times New Roman" w:cs="Times New Roman"/>
          <w:color w:val="000000" w:themeColor="text1"/>
          <w:sz w:val="20"/>
          <w:szCs w:val="20"/>
        </w:rPr>
      </w:pPr>
      <w:r w:rsidRPr="00827200">
        <w:rPr>
          <w:rFonts w:ascii="Times New Roman" w:hAnsi="Times New Roman" w:cs="Times New Roman"/>
          <w:b/>
          <w:bCs/>
          <w:color w:val="000000" w:themeColor="text1"/>
          <w:sz w:val="20"/>
          <w:szCs w:val="20"/>
        </w:rPr>
        <w:t>Artigo 29</w:t>
      </w:r>
      <w:r w:rsidRPr="00827200">
        <w:rPr>
          <w:rFonts w:ascii="Times New Roman" w:hAnsi="Times New Roman" w:cs="Times New Roman"/>
          <w:color w:val="000000" w:themeColor="text1"/>
          <w:sz w:val="20"/>
          <w:szCs w:val="20"/>
        </w:rPr>
        <w:t>. (...)</w:t>
      </w:r>
    </w:p>
    <w:p w14:paraId="76612004" w14:textId="0762F68E" w:rsidR="00827200" w:rsidRPr="00827200" w:rsidRDefault="00827200" w:rsidP="00827200">
      <w:pPr>
        <w:spacing w:after="0" w:line="360" w:lineRule="auto"/>
        <w:ind w:left="3402"/>
        <w:jc w:val="both"/>
        <w:rPr>
          <w:rFonts w:ascii="Times New Roman" w:hAnsi="Times New Roman" w:cs="Times New Roman"/>
          <w:color w:val="000000" w:themeColor="text1"/>
          <w:sz w:val="20"/>
          <w:szCs w:val="20"/>
        </w:rPr>
      </w:pPr>
      <w:r w:rsidRPr="00827200">
        <w:rPr>
          <w:rFonts w:ascii="Times New Roman" w:hAnsi="Times New Roman" w:cs="Times New Roman"/>
          <w:color w:val="000000" w:themeColor="text1"/>
          <w:sz w:val="20"/>
          <w:szCs w:val="20"/>
        </w:rPr>
        <w:t>(...)</w:t>
      </w:r>
    </w:p>
    <w:p w14:paraId="654E6B43" w14:textId="2BD3A39B" w:rsidR="00827200" w:rsidRDefault="00827200" w:rsidP="00827200">
      <w:pPr>
        <w:pStyle w:val="PargrafodaLista"/>
        <w:spacing w:after="0" w:line="360" w:lineRule="auto"/>
        <w:ind w:left="3402"/>
        <w:jc w:val="both"/>
        <w:rPr>
          <w:rFonts w:ascii="Times New Roman" w:hAnsi="Times New Roman" w:cs="Times New Roman"/>
          <w:color w:val="000000" w:themeColor="text1"/>
          <w:sz w:val="20"/>
          <w:szCs w:val="20"/>
          <w:shd w:val="clear" w:color="auto" w:fill="FFFFFF"/>
        </w:rPr>
      </w:pPr>
      <w:r w:rsidRPr="00827200">
        <w:rPr>
          <w:rFonts w:ascii="Times New Roman" w:hAnsi="Times New Roman" w:cs="Times New Roman"/>
          <w:b/>
          <w:bCs/>
          <w:color w:val="000000" w:themeColor="text1"/>
          <w:sz w:val="20"/>
          <w:szCs w:val="20"/>
          <w:shd w:val="clear" w:color="auto" w:fill="FFFFFF"/>
        </w:rPr>
        <w:t>Parágrafo único</w:t>
      </w:r>
      <w:r w:rsidRPr="00827200">
        <w:rPr>
          <w:rFonts w:ascii="Times New Roman" w:hAnsi="Times New Roman" w:cs="Times New Roman"/>
          <w:color w:val="000000" w:themeColor="text1"/>
          <w:sz w:val="20"/>
          <w:szCs w:val="20"/>
          <w:shd w:val="clear" w:color="auto" w:fill="FFFFFF"/>
        </w:rPr>
        <w:t>. A elaboração, redação, alteração e consolidação das leis deverão atender ao disposto na Lei Complementar nº </w:t>
      </w:r>
      <w:hyperlink r:id="rId8" w:history="1">
        <w:r w:rsidRPr="00827200">
          <w:rPr>
            <w:rStyle w:val="Hyperlink"/>
            <w:rFonts w:ascii="Times New Roman" w:hAnsi="Times New Roman" w:cs="Times New Roman"/>
            <w:color w:val="000000" w:themeColor="text1"/>
            <w:sz w:val="20"/>
            <w:szCs w:val="20"/>
            <w:u w:val="none"/>
            <w:shd w:val="clear" w:color="auto" w:fill="FFFFFF"/>
          </w:rPr>
          <w:t>95</w:t>
        </w:r>
      </w:hyperlink>
      <w:r w:rsidRPr="00827200">
        <w:rPr>
          <w:rFonts w:ascii="Times New Roman" w:hAnsi="Times New Roman" w:cs="Times New Roman"/>
          <w:color w:val="000000" w:themeColor="text1"/>
          <w:sz w:val="20"/>
          <w:szCs w:val="20"/>
          <w:shd w:val="clear" w:color="auto" w:fill="FFFFFF"/>
        </w:rPr>
        <w:t>, de 26 de fevereiro de 1998.</w:t>
      </w:r>
    </w:p>
    <w:p w14:paraId="2C761467" w14:textId="77777777" w:rsidR="00E46050" w:rsidRDefault="00E46050" w:rsidP="00827200">
      <w:pPr>
        <w:pStyle w:val="PargrafodaLista"/>
        <w:spacing w:after="0" w:line="360" w:lineRule="auto"/>
        <w:ind w:left="3402"/>
        <w:jc w:val="both"/>
        <w:rPr>
          <w:rFonts w:ascii="Times New Roman" w:hAnsi="Times New Roman" w:cs="Times New Roman"/>
          <w:color w:val="000000" w:themeColor="text1"/>
          <w:sz w:val="20"/>
          <w:szCs w:val="20"/>
          <w:shd w:val="clear" w:color="auto" w:fill="FFFFFF"/>
        </w:rPr>
      </w:pPr>
    </w:p>
    <w:p w14:paraId="40EB52DC" w14:textId="19BAFE1F" w:rsidR="00827200" w:rsidRDefault="00E46050" w:rsidP="0082720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Lei Complementar 95/1998, que dispõe sobre a elaboração, redação, alteração e consolidação das leis, assevera que:</w:t>
      </w:r>
    </w:p>
    <w:p w14:paraId="38B6B950" w14:textId="15A76F8C" w:rsidR="00E46050" w:rsidRPr="00E46050" w:rsidRDefault="00E46050" w:rsidP="003E6504">
      <w:pPr>
        <w:spacing w:after="0" w:line="360" w:lineRule="auto"/>
        <w:ind w:left="3402"/>
        <w:jc w:val="both"/>
        <w:rPr>
          <w:rFonts w:ascii="Times New Roman" w:hAnsi="Times New Roman" w:cs="Times New Roman"/>
          <w:color w:val="000000"/>
          <w:sz w:val="20"/>
          <w:szCs w:val="20"/>
          <w:shd w:val="clear" w:color="auto" w:fill="FFFFFF"/>
        </w:rPr>
      </w:pPr>
      <w:r w:rsidRPr="003E6504">
        <w:rPr>
          <w:rFonts w:ascii="Times New Roman" w:hAnsi="Times New Roman" w:cs="Times New Roman"/>
          <w:b/>
          <w:bCs/>
          <w:color w:val="000000" w:themeColor="text1"/>
          <w:sz w:val="20"/>
          <w:szCs w:val="20"/>
          <w:shd w:val="clear" w:color="auto" w:fill="FFFFFF"/>
        </w:rPr>
        <w:t>Artigo 11</w:t>
      </w:r>
      <w:r w:rsidRPr="00E46050">
        <w:rPr>
          <w:rFonts w:ascii="Times New Roman" w:hAnsi="Times New Roman" w:cs="Times New Roman"/>
          <w:color w:val="000000" w:themeColor="text1"/>
          <w:sz w:val="20"/>
          <w:szCs w:val="20"/>
          <w:shd w:val="clear" w:color="auto" w:fill="FFFFFF"/>
        </w:rPr>
        <w:t>.</w:t>
      </w:r>
      <w:r w:rsidRPr="00E46050">
        <w:rPr>
          <w:rFonts w:ascii="Times New Roman" w:hAnsi="Times New Roman" w:cs="Times New Roman"/>
          <w:color w:val="000000"/>
          <w:sz w:val="20"/>
          <w:szCs w:val="20"/>
          <w:shd w:val="clear" w:color="auto" w:fill="FFFFFF"/>
        </w:rPr>
        <w:t xml:space="preserve"> As disposições normativas serão redigidas com clareza, precisão e ordem lógica, observadas, para esse propósito, as seguintes normas:</w:t>
      </w:r>
    </w:p>
    <w:p w14:paraId="3CF5BC8D" w14:textId="77777777" w:rsidR="00E46050" w:rsidRPr="003E6504" w:rsidRDefault="00E46050" w:rsidP="003E6504">
      <w:pPr>
        <w:spacing w:after="0" w:line="360" w:lineRule="auto"/>
        <w:ind w:left="3402"/>
        <w:jc w:val="both"/>
        <w:rPr>
          <w:rFonts w:ascii="Times New Roman" w:hAnsi="Times New Roman" w:cs="Times New Roman"/>
          <w:color w:val="000000"/>
          <w:sz w:val="20"/>
          <w:szCs w:val="20"/>
          <w:shd w:val="clear" w:color="auto" w:fill="FFFFFF"/>
        </w:rPr>
      </w:pPr>
      <w:r w:rsidRPr="003E6504">
        <w:rPr>
          <w:rFonts w:ascii="Times New Roman" w:hAnsi="Times New Roman" w:cs="Times New Roman"/>
          <w:color w:val="000000"/>
          <w:sz w:val="20"/>
          <w:szCs w:val="20"/>
          <w:shd w:val="clear" w:color="auto" w:fill="FFFFFF"/>
        </w:rPr>
        <w:t>(...)</w:t>
      </w:r>
    </w:p>
    <w:p w14:paraId="2DD586BD" w14:textId="77777777" w:rsidR="003E6504" w:rsidRDefault="00E46050" w:rsidP="003E6504">
      <w:pPr>
        <w:spacing w:after="0" w:line="360" w:lineRule="auto"/>
        <w:ind w:left="3402"/>
        <w:jc w:val="both"/>
        <w:rPr>
          <w:rFonts w:ascii="Times New Roman" w:hAnsi="Times New Roman" w:cs="Times New Roman"/>
          <w:color w:val="000000"/>
          <w:sz w:val="20"/>
          <w:szCs w:val="20"/>
        </w:rPr>
      </w:pPr>
      <w:r w:rsidRPr="003E6504">
        <w:rPr>
          <w:rFonts w:ascii="Times New Roman" w:hAnsi="Times New Roman" w:cs="Times New Roman"/>
          <w:b/>
          <w:bCs/>
          <w:color w:val="000000"/>
          <w:sz w:val="20"/>
          <w:szCs w:val="20"/>
          <w:shd w:val="clear" w:color="auto" w:fill="FFFFFF"/>
        </w:rPr>
        <w:t xml:space="preserve">II </w:t>
      </w:r>
      <w:r w:rsidRPr="00E46050">
        <w:rPr>
          <w:rFonts w:ascii="Times New Roman" w:hAnsi="Times New Roman" w:cs="Times New Roman"/>
          <w:color w:val="000000"/>
          <w:sz w:val="20"/>
          <w:szCs w:val="20"/>
          <w:shd w:val="clear" w:color="auto" w:fill="FFFFFF"/>
        </w:rPr>
        <w:t xml:space="preserve">- </w:t>
      </w:r>
      <w:r w:rsidRPr="00E46050">
        <w:rPr>
          <w:rFonts w:ascii="Times New Roman" w:hAnsi="Times New Roman" w:cs="Times New Roman"/>
          <w:color w:val="000000"/>
          <w:sz w:val="20"/>
          <w:szCs w:val="20"/>
        </w:rPr>
        <w:t>para a obtenção de precisão:</w:t>
      </w:r>
    </w:p>
    <w:p w14:paraId="58F0CC4F" w14:textId="2397601F" w:rsidR="00E46050" w:rsidRPr="003E6504" w:rsidRDefault="00E46050" w:rsidP="003E6504">
      <w:pPr>
        <w:pStyle w:val="PargrafodaLista"/>
        <w:numPr>
          <w:ilvl w:val="0"/>
          <w:numId w:val="10"/>
        </w:numPr>
        <w:spacing w:after="0" w:line="360" w:lineRule="auto"/>
        <w:jc w:val="both"/>
        <w:rPr>
          <w:rFonts w:ascii="Times New Roman" w:hAnsi="Times New Roman" w:cs="Times New Roman"/>
          <w:color w:val="000000"/>
          <w:sz w:val="20"/>
          <w:szCs w:val="20"/>
        </w:rPr>
      </w:pPr>
      <w:r w:rsidRPr="003E6504">
        <w:rPr>
          <w:rFonts w:ascii="Times New Roman" w:hAnsi="Times New Roman" w:cs="Times New Roman"/>
          <w:color w:val="000000"/>
          <w:sz w:val="20"/>
          <w:szCs w:val="20"/>
        </w:rPr>
        <w:t>articular a linguagem, técnica ou comum, de modo a ensejar perfeita compreensão do objetivo da lei e a permitir que seu texto evidencie com clareza o conteúdo e o alcance que o legislador pretende dar à norma;</w:t>
      </w:r>
    </w:p>
    <w:p w14:paraId="2F81DA10" w14:textId="51C1B7AB" w:rsidR="003E6504" w:rsidRPr="003E6504" w:rsidRDefault="003E6504" w:rsidP="003E6504">
      <w:pPr>
        <w:spacing w:after="0" w:line="360" w:lineRule="auto"/>
        <w:ind w:left="3402"/>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p>
    <w:p w14:paraId="0A2B0F87" w14:textId="62457302" w:rsidR="00E46050" w:rsidRDefault="00285696" w:rsidP="00E4605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Assim, feita a leitura do preâmbulo do Projeto de Lei em comento, verifica-se a indicação da base legal, por conseguinte, um respeito ao disposto no artigo 6º da Lei complementar nº 95/98, bem como, a tradição e costume de todos os projetos sancionados e promulgados nesse município. </w:t>
      </w:r>
    </w:p>
    <w:p w14:paraId="5652A9B4" w14:textId="77777777" w:rsidR="0074162D" w:rsidRDefault="0074162D" w:rsidP="00E4605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p>
    <w:p w14:paraId="6732368F" w14:textId="77777777" w:rsidR="0074162D" w:rsidRDefault="0074162D" w:rsidP="0074162D">
      <w:pPr>
        <w:pBdr>
          <w:top w:val="single" w:sz="4" w:space="1" w:color="auto"/>
          <w:left w:val="single" w:sz="4" w:space="4" w:color="auto"/>
          <w:bottom w:val="single" w:sz="4" w:space="1" w:color="auto"/>
          <w:right w:val="single" w:sz="4" w:space="4" w:color="auto"/>
        </w:pBdr>
        <w:ind w:firstLine="1701"/>
        <w:jc w:val="both"/>
        <w:rPr>
          <w:snapToGrid w:val="0"/>
        </w:rPr>
      </w:pPr>
      <w:r w:rsidRPr="007D2991">
        <w:rPr>
          <w:b/>
          <w:snapToGrid w:val="0"/>
        </w:rPr>
        <w:t xml:space="preserve">Art. 2º </w:t>
      </w:r>
      <w:r w:rsidRPr="007D2991">
        <w:rPr>
          <w:bCs/>
          <w:snapToGrid w:val="0"/>
        </w:rPr>
        <w:t xml:space="preserve">Altera o vencimento do cargo </w:t>
      </w:r>
      <w:r w:rsidRPr="007D2991">
        <w:rPr>
          <w:snapToGrid w:val="0"/>
        </w:rPr>
        <w:t>comissionado de Procurador Jurídico previsto no Anexo I – Cargos de Livre Nomeação e Exoneração da Lei Complementar n° 024 de 01 de dezembro de 2014, passando a vigorar conforme abaixo:</w:t>
      </w:r>
    </w:p>
    <w:p w14:paraId="0C63E98A" w14:textId="77777777" w:rsidR="0074162D" w:rsidRDefault="0074162D" w:rsidP="0074162D">
      <w:pPr>
        <w:pBdr>
          <w:top w:val="single" w:sz="4" w:space="1" w:color="auto"/>
          <w:left w:val="single" w:sz="4" w:space="4" w:color="auto"/>
          <w:bottom w:val="single" w:sz="4" w:space="1" w:color="auto"/>
          <w:right w:val="single" w:sz="4" w:space="4" w:color="auto"/>
        </w:pBdr>
        <w:ind w:firstLine="1701"/>
        <w:jc w:val="both"/>
        <w:rPr>
          <w:snapToGrid w:val="0"/>
        </w:rPr>
      </w:pPr>
    </w:p>
    <w:tbl>
      <w:tblPr>
        <w:tblStyle w:val="Tabelacomgrade"/>
        <w:tblW w:w="0" w:type="auto"/>
        <w:tblLayout w:type="fixed"/>
        <w:tblLook w:val="04A0" w:firstRow="1" w:lastRow="0" w:firstColumn="1" w:lastColumn="0" w:noHBand="0" w:noVBand="1"/>
      </w:tblPr>
      <w:tblGrid>
        <w:gridCol w:w="1696"/>
        <w:gridCol w:w="4820"/>
        <w:gridCol w:w="1134"/>
        <w:gridCol w:w="1411"/>
      </w:tblGrid>
      <w:tr w:rsidR="0074162D" w14:paraId="3E23843A" w14:textId="77777777" w:rsidTr="00E2029B">
        <w:trPr>
          <w:trHeight w:val="202"/>
        </w:trPr>
        <w:tc>
          <w:tcPr>
            <w:tcW w:w="1696" w:type="dxa"/>
            <w:shd w:val="clear" w:color="auto" w:fill="F2F2F2" w:themeFill="background1" w:themeFillShade="F2"/>
            <w:vAlign w:val="center"/>
          </w:tcPr>
          <w:p w14:paraId="70030196" w14:textId="77777777" w:rsidR="0074162D" w:rsidRPr="0065317E" w:rsidRDefault="0074162D" w:rsidP="0074162D">
            <w:pPr>
              <w:pBdr>
                <w:top w:val="single" w:sz="4" w:space="1" w:color="auto"/>
                <w:left w:val="single" w:sz="4" w:space="4" w:color="auto"/>
                <w:bottom w:val="single" w:sz="4" w:space="1" w:color="auto"/>
                <w:right w:val="single" w:sz="4" w:space="4" w:color="auto"/>
              </w:pBdr>
              <w:ind w:right="-1"/>
              <w:jc w:val="center"/>
              <w:rPr>
                <w:b/>
                <w:bCs/>
                <w:snapToGrid w:val="0"/>
              </w:rPr>
            </w:pPr>
            <w:r w:rsidRPr="0065317E">
              <w:rPr>
                <w:b/>
                <w:bCs/>
                <w:snapToGrid w:val="0"/>
              </w:rPr>
              <w:t>Vencimento</w:t>
            </w:r>
          </w:p>
        </w:tc>
        <w:tc>
          <w:tcPr>
            <w:tcW w:w="4820" w:type="dxa"/>
            <w:shd w:val="clear" w:color="auto" w:fill="F2F2F2" w:themeFill="background1" w:themeFillShade="F2"/>
            <w:vAlign w:val="center"/>
          </w:tcPr>
          <w:p w14:paraId="3E60C902" w14:textId="77777777" w:rsidR="0074162D" w:rsidRPr="0065317E" w:rsidRDefault="0074162D" w:rsidP="0074162D">
            <w:pPr>
              <w:pBdr>
                <w:top w:val="single" w:sz="4" w:space="1" w:color="auto"/>
                <w:left w:val="single" w:sz="4" w:space="4" w:color="auto"/>
                <w:bottom w:val="single" w:sz="4" w:space="1" w:color="auto"/>
                <w:right w:val="single" w:sz="4" w:space="4" w:color="auto"/>
              </w:pBdr>
              <w:ind w:right="-1"/>
              <w:jc w:val="center"/>
              <w:rPr>
                <w:b/>
                <w:bCs/>
                <w:snapToGrid w:val="0"/>
              </w:rPr>
            </w:pPr>
            <w:r w:rsidRPr="0065317E">
              <w:rPr>
                <w:b/>
                <w:bCs/>
                <w:snapToGrid w:val="0"/>
              </w:rPr>
              <w:t>Título do Cargo</w:t>
            </w:r>
          </w:p>
        </w:tc>
        <w:tc>
          <w:tcPr>
            <w:tcW w:w="1134" w:type="dxa"/>
            <w:shd w:val="clear" w:color="auto" w:fill="F2F2F2" w:themeFill="background1" w:themeFillShade="F2"/>
            <w:vAlign w:val="center"/>
          </w:tcPr>
          <w:p w14:paraId="220C32C3" w14:textId="77777777" w:rsidR="0074162D" w:rsidRPr="0065317E" w:rsidRDefault="0074162D" w:rsidP="0074162D">
            <w:pPr>
              <w:pBdr>
                <w:top w:val="single" w:sz="4" w:space="1" w:color="auto"/>
                <w:left w:val="single" w:sz="4" w:space="4" w:color="auto"/>
                <w:bottom w:val="single" w:sz="4" w:space="1" w:color="auto"/>
                <w:right w:val="single" w:sz="4" w:space="4" w:color="auto"/>
              </w:pBdr>
              <w:ind w:right="-1"/>
              <w:jc w:val="center"/>
              <w:rPr>
                <w:b/>
                <w:bCs/>
                <w:snapToGrid w:val="0"/>
              </w:rPr>
            </w:pPr>
            <w:r w:rsidRPr="0065317E">
              <w:rPr>
                <w:b/>
                <w:bCs/>
                <w:snapToGrid w:val="0"/>
              </w:rPr>
              <w:t>HS/SEM</w:t>
            </w:r>
          </w:p>
        </w:tc>
        <w:tc>
          <w:tcPr>
            <w:tcW w:w="1411" w:type="dxa"/>
            <w:shd w:val="clear" w:color="auto" w:fill="F2F2F2" w:themeFill="background1" w:themeFillShade="F2"/>
            <w:vAlign w:val="center"/>
          </w:tcPr>
          <w:p w14:paraId="49041EEF" w14:textId="77777777" w:rsidR="0074162D" w:rsidRPr="0065317E" w:rsidRDefault="0074162D" w:rsidP="0074162D">
            <w:pPr>
              <w:pBdr>
                <w:top w:val="single" w:sz="4" w:space="1" w:color="auto"/>
                <w:left w:val="single" w:sz="4" w:space="4" w:color="auto"/>
                <w:bottom w:val="single" w:sz="4" w:space="1" w:color="auto"/>
                <w:right w:val="single" w:sz="4" w:space="4" w:color="auto"/>
              </w:pBdr>
              <w:ind w:right="-1"/>
              <w:jc w:val="center"/>
              <w:rPr>
                <w:b/>
                <w:bCs/>
                <w:snapToGrid w:val="0"/>
              </w:rPr>
            </w:pPr>
            <w:r w:rsidRPr="0065317E">
              <w:rPr>
                <w:b/>
                <w:bCs/>
                <w:snapToGrid w:val="0"/>
              </w:rPr>
              <w:t>Nº de Vagas</w:t>
            </w:r>
          </w:p>
        </w:tc>
      </w:tr>
      <w:tr w:rsidR="0074162D" w14:paraId="7C08C1CE" w14:textId="77777777" w:rsidTr="00E2029B">
        <w:trPr>
          <w:trHeight w:val="547"/>
        </w:trPr>
        <w:tc>
          <w:tcPr>
            <w:tcW w:w="1696" w:type="dxa"/>
            <w:vAlign w:val="center"/>
          </w:tcPr>
          <w:p w14:paraId="739470E5" w14:textId="77777777" w:rsidR="0074162D" w:rsidRDefault="0074162D" w:rsidP="0074162D">
            <w:pPr>
              <w:pBdr>
                <w:top w:val="single" w:sz="4" w:space="1" w:color="auto"/>
                <w:left w:val="single" w:sz="4" w:space="4" w:color="auto"/>
                <w:bottom w:val="single" w:sz="4" w:space="1" w:color="auto"/>
                <w:right w:val="single" w:sz="4" w:space="4" w:color="auto"/>
              </w:pBdr>
              <w:ind w:right="-1"/>
              <w:jc w:val="center"/>
              <w:rPr>
                <w:snapToGrid w:val="0"/>
              </w:rPr>
            </w:pPr>
            <w:r w:rsidRPr="0026488D">
              <w:t>R$ 10.080,00</w:t>
            </w:r>
          </w:p>
        </w:tc>
        <w:tc>
          <w:tcPr>
            <w:tcW w:w="4820" w:type="dxa"/>
            <w:vAlign w:val="center"/>
          </w:tcPr>
          <w:p w14:paraId="20BBFA81" w14:textId="77777777" w:rsidR="0074162D" w:rsidRDefault="0074162D" w:rsidP="0074162D">
            <w:pPr>
              <w:pBdr>
                <w:top w:val="single" w:sz="4" w:space="1" w:color="auto"/>
                <w:left w:val="single" w:sz="4" w:space="4" w:color="auto"/>
                <w:bottom w:val="single" w:sz="4" w:space="1" w:color="auto"/>
                <w:right w:val="single" w:sz="4" w:space="4" w:color="auto"/>
              </w:pBdr>
              <w:ind w:right="-1"/>
              <w:jc w:val="both"/>
              <w:rPr>
                <w:snapToGrid w:val="0"/>
              </w:rPr>
            </w:pPr>
            <w:r w:rsidRPr="007D2991">
              <w:t>Procurador Jurídico</w:t>
            </w:r>
          </w:p>
        </w:tc>
        <w:tc>
          <w:tcPr>
            <w:tcW w:w="1134" w:type="dxa"/>
            <w:vAlign w:val="center"/>
          </w:tcPr>
          <w:p w14:paraId="6685DD56" w14:textId="77777777" w:rsidR="0074162D" w:rsidRDefault="0074162D" w:rsidP="0074162D">
            <w:pPr>
              <w:pBdr>
                <w:top w:val="single" w:sz="4" w:space="1" w:color="auto"/>
                <w:left w:val="single" w:sz="4" w:space="4" w:color="auto"/>
                <w:bottom w:val="single" w:sz="4" w:space="1" w:color="auto"/>
                <w:right w:val="single" w:sz="4" w:space="4" w:color="auto"/>
              </w:pBdr>
              <w:ind w:right="-1"/>
              <w:jc w:val="center"/>
              <w:rPr>
                <w:snapToGrid w:val="0"/>
              </w:rPr>
            </w:pPr>
            <w:r>
              <w:rPr>
                <w:snapToGrid w:val="0"/>
              </w:rPr>
              <w:t>-</w:t>
            </w:r>
          </w:p>
        </w:tc>
        <w:tc>
          <w:tcPr>
            <w:tcW w:w="1411" w:type="dxa"/>
            <w:vAlign w:val="center"/>
          </w:tcPr>
          <w:p w14:paraId="3889081B" w14:textId="77777777" w:rsidR="0074162D" w:rsidRDefault="0074162D" w:rsidP="0074162D">
            <w:pPr>
              <w:pBdr>
                <w:top w:val="single" w:sz="4" w:space="1" w:color="auto"/>
                <w:left w:val="single" w:sz="4" w:space="4" w:color="auto"/>
                <w:bottom w:val="single" w:sz="4" w:space="1" w:color="auto"/>
                <w:right w:val="single" w:sz="4" w:space="4" w:color="auto"/>
              </w:pBdr>
              <w:ind w:right="-1"/>
              <w:jc w:val="center"/>
              <w:rPr>
                <w:snapToGrid w:val="0"/>
              </w:rPr>
            </w:pPr>
            <w:r w:rsidRPr="007D2991">
              <w:t>01</w:t>
            </w:r>
          </w:p>
        </w:tc>
      </w:tr>
    </w:tbl>
    <w:p w14:paraId="76FFFF68" w14:textId="77777777" w:rsidR="0074162D" w:rsidRDefault="0074162D" w:rsidP="0074162D">
      <w:pPr>
        <w:ind w:firstLine="1701"/>
        <w:jc w:val="both"/>
        <w:rPr>
          <w:bCs/>
          <w:snapToGrid w:val="0"/>
        </w:rPr>
      </w:pPr>
    </w:p>
    <w:p w14:paraId="49FA9988" w14:textId="28B43933" w:rsidR="0074162D" w:rsidRDefault="0074162D" w:rsidP="00E4605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Ao que se refere o Art. 2º do Projeto de Lei, o cargo de Procurador Jurídico não contemplar carga horária, é entendimento do Tribunal de Contas do Estado de Mato Grosso, </w:t>
      </w:r>
      <w:proofErr w:type="spellStart"/>
      <w:r>
        <w:rPr>
          <w:rFonts w:ascii="Times New Roman" w:hAnsi="Times New Roman" w:cs="Times New Roman"/>
          <w:color w:val="000000" w:themeColor="text1"/>
          <w:sz w:val="24"/>
          <w:szCs w:val="24"/>
          <w:shd w:val="clear" w:color="auto" w:fill="FFFFFF"/>
        </w:rPr>
        <w:t>cfe</w:t>
      </w:r>
      <w:proofErr w:type="spellEnd"/>
      <w:r>
        <w:rPr>
          <w:rFonts w:ascii="Times New Roman" w:hAnsi="Times New Roman" w:cs="Times New Roman"/>
          <w:color w:val="000000" w:themeColor="text1"/>
          <w:sz w:val="24"/>
          <w:szCs w:val="24"/>
          <w:shd w:val="clear" w:color="auto" w:fill="FFFFFF"/>
        </w:rPr>
        <w:t xml:space="preserve"> RESOLUÇÃO DE CONSULTA Nº 28/2017:</w:t>
      </w:r>
    </w:p>
    <w:p w14:paraId="0674B339" w14:textId="6A73DAD5" w:rsidR="0074162D" w:rsidRPr="0074162D" w:rsidRDefault="0074162D" w:rsidP="0074162D">
      <w:pPr>
        <w:pStyle w:val="PargrafodaLista"/>
        <w:spacing w:after="0" w:line="360" w:lineRule="auto"/>
        <w:ind w:left="1701"/>
        <w:jc w:val="both"/>
        <w:rPr>
          <w:rFonts w:ascii="Times New Roman" w:hAnsi="Times New Roman" w:cs="Times New Roman"/>
          <w:color w:val="000000" w:themeColor="text1"/>
          <w:sz w:val="20"/>
          <w:szCs w:val="20"/>
          <w:shd w:val="clear" w:color="auto" w:fill="FFFFFF"/>
        </w:rPr>
      </w:pPr>
      <w:r w:rsidRPr="0074162D">
        <w:rPr>
          <w:rFonts w:ascii="Times New Roman" w:hAnsi="Times New Roman" w:cs="Times New Roman"/>
          <w:color w:val="000000" w:themeColor="text1"/>
          <w:sz w:val="20"/>
          <w:szCs w:val="20"/>
          <w:shd w:val="clear" w:color="auto" w:fill="FFFFFF"/>
        </w:rPr>
        <w:t xml:space="preserve">3) é possível a implementação de Controle de Frequência por Produtividade e Qualidade de Serviços para os servidores advogados públicos descritos nos itens anteriores, em detrimento do controle de frequência por registro diário de ponto, mesmo que esta última forma esteja prevista em lei em sentido estrito, por meio da edição de Decreto Autônomo, no caso dos Poderes Executivos Estadual e Municipais e por Resolução ou ato congênere, no caso dos Poderes Legislativos Estadual e Municipais e Poder Judiciário e Órgãos Autônomos Estaduais (art. 2º; </w:t>
      </w:r>
      <w:proofErr w:type="spellStart"/>
      <w:r w:rsidRPr="0074162D">
        <w:rPr>
          <w:rFonts w:ascii="Times New Roman" w:hAnsi="Times New Roman" w:cs="Times New Roman"/>
          <w:color w:val="000000" w:themeColor="text1"/>
          <w:sz w:val="20"/>
          <w:szCs w:val="20"/>
          <w:shd w:val="clear" w:color="auto" w:fill="FFFFFF"/>
        </w:rPr>
        <w:t>arts</w:t>
      </w:r>
      <w:proofErr w:type="spellEnd"/>
      <w:r w:rsidRPr="0074162D">
        <w:rPr>
          <w:rFonts w:ascii="Times New Roman" w:hAnsi="Times New Roman" w:cs="Times New Roman"/>
          <w:color w:val="000000" w:themeColor="text1"/>
          <w:sz w:val="20"/>
          <w:szCs w:val="20"/>
          <w:shd w:val="clear" w:color="auto" w:fill="FFFFFF"/>
        </w:rPr>
        <w:t>. 51, inc. IV e 52, inc. XIII; e, art. 84, VI, “a”, todos da CF/88).</w:t>
      </w:r>
    </w:p>
    <w:p w14:paraId="46D42251" w14:textId="77777777" w:rsidR="00285696" w:rsidRDefault="00285696" w:rsidP="00E4605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p>
    <w:p w14:paraId="548BBAFB" w14:textId="5D442BE1" w:rsidR="0074162D" w:rsidRDefault="0074162D" w:rsidP="00E4605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Dessa forma, esta procuradoria </w:t>
      </w:r>
      <w:r w:rsidR="00D170CE">
        <w:rPr>
          <w:rFonts w:ascii="Times New Roman" w:hAnsi="Times New Roman" w:cs="Times New Roman"/>
          <w:color w:val="000000" w:themeColor="text1"/>
          <w:sz w:val="24"/>
          <w:szCs w:val="24"/>
          <w:shd w:val="clear" w:color="auto" w:fill="FFFFFF"/>
        </w:rPr>
        <w:t xml:space="preserve">corrobora a </w:t>
      </w:r>
      <w:r>
        <w:rPr>
          <w:rFonts w:ascii="Times New Roman" w:hAnsi="Times New Roman" w:cs="Times New Roman"/>
          <w:color w:val="000000" w:themeColor="text1"/>
          <w:sz w:val="24"/>
          <w:szCs w:val="24"/>
          <w:shd w:val="clear" w:color="auto" w:fill="FFFFFF"/>
        </w:rPr>
        <w:t>constitucionalidade da inexigibilidade de carga horária, conforme entendimento do TCE/MT.</w:t>
      </w:r>
    </w:p>
    <w:p w14:paraId="3E95FADA" w14:textId="77777777" w:rsidR="0074162D" w:rsidRDefault="0074162D" w:rsidP="00E46050">
      <w:pPr>
        <w:pStyle w:val="PargrafodaLista"/>
        <w:spacing w:after="0" w:line="360" w:lineRule="auto"/>
        <w:ind w:left="142" w:firstLine="1559"/>
        <w:jc w:val="both"/>
        <w:rPr>
          <w:rFonts w:ascii="Times New Roman" w:hAnsi="Times New Roman" w:cs="Times New Roman"/>
          <w:color w:val="000000" w:themeColor="text1"/>
          <w:sz w:val="24"/>
          <w:szCs w:val="24"/>
          <w:shd w:val="clear" w:color="auto" w:fill="FFFFFF"/>
        </w:rPr>
      </w:pPr>
    </w:p>
    <w:p w14:paraId="3E5F1486" w14:textId="5ED7F47B" w:rsidR="00285696" w:rsidRPr="00285696" w:rsidRDefault="00285696" w:rsidP="00285696">
      <w:pPr>
        <w:pStyle w:val="PargrafodaLista"/>
        <w:numPr>
          <w:ilvl w:val="0"/>
          <w:numId w:val="3"/>
        </w:numPr>
        <w:spacing w:after="0" w:line="360" w:lineRule="auto"/>
        <w:jc w:val="both"/>
        <w:rPr>
          <w:rFonts w:ascii="Times New Roman" w:hAnsi="Times New Roman" w:cs="Times New Roman"/>
          <w:b/>
          <w:bCs/>
          <w:sz w:val="24"/>
          <w:szCs w:val="24"/>
        </w:rPr>
      </w:pPr>
      <w:r w:rsidRPr="00285696">
        <w:rPr>
          <w:rFonts w:ascii="Times New Roman" w:hAnsi="Times New Roman" w:cs="Times New Roman"/>
          <w:b/>
          <w:bCs/>
          <w:sz w:val="24"/>
          <w:szCs w:val="24"/>
        </w:rPr>
        <w:t>– Dos Anexos Fiscais</w:t>
      </w:r>
    </w:p>
    <w:p w14:paraId="08DF2418" w14:textId="77777777" w:rsidR="003E6504" w:rsidRDefault="003E6504" w:rsidP="003E6504">
      <w:pPr>
        <w:spacing w:after="0" w:line="360" w:lineRule="auto"/>
        <w:jc w:val="both"/>
        <w:rPr>
          <w:rFonts w:ascii="Times New Roman" w:hAnsi="Times New Roman" w:cs="Times New Roman"/>
          <w:color w:val="000000" w:themeColor="text1"/>
          <w:sz w:val="24"/>
          <w:szCs w:val="24"/>
          <w:shd w:val="clear" w:color="auto" w:fill="FFFFFF"/>
        </w:rPr>
      </w:pPr>
    </w:p>
    <w:p w14:paraId="19172F39" w14:textId="0BD96255" w:rsidR="00006524" w:rsidRDefault="00006524" w:rsidP="00006524">
      <w:pPr>
        <w:spacing w:after="0" w:line="360" w:lineRule="auto"/>
        <w:ind w:firstLine="1701"/>
        <w:jc w:val="both"/>
        <w:rPr>
          <w:rFonts w:ascii="Times New Roman" w:hAnsi="Times New Roman" w:cs="Times New Roman"/>
          <w:sz w:val="24"/>
          <w:szCs w:val="24"/>
        </w:rPr>
      </w:pPr>
      <w:r w:rsidRPr="00006524">
        <w:rPr>
          <w:rFonts w:ascii="Times New Roman" w:hAnsi="Times New Roman" w:cs="Times New Roman"/>
          <w:sz w:val="24"/>
          <w:szCs w:val="24"/>
        </w:rPr>
        <w:t xml:space="preserve">O projeto em análise prevê a </w:t>
      </w:r>
      <w:r>
        <w:rPr>
          <w:rFonts w:ascii="Times New Roman" w:hAnsi="Times New Roman" w:cs="Times New Roman"/>
          <w:sz w:val="24"/>
          <w:szCs w:val="24"/>
        </w:rPr>
        <w:t xml:space="preserve">criação e </w:t>
      </w:r>
      <w:r w:rsidRPr="00006524">
        <w:rPr>
          <w:rFonts w:ascii="Times New Roman" w:hAnsi="Times New Roman" w:cs="Times New Roman"/>
          <w:sz w:val="24"/>
          <w:szCs w:val="24"/>
        </w:rPr>
        <w:t xml:space="preserve">adequação de cargos </w:t>
      </w:r>
      <w:r>
        <w:rPr>
          <w:rFonts w:ascii="Times New Roman" w:hAnsi="Times New Roman" w:cs="Times New Roman"/>
          <w:sz w:val="24"/>
          <w:szCs w:val="24"/>
        </w:rPr>
        <w:t>comissionados</w:t>
      </w:r>
      <w:r w:rsidRPr="00006524">
        <w:rPr>
          <w:rFonts w:ascii="Times New Roman" w:hAnsi="Times New Roman" w:cs="Times New Roman"/>
          <w:sz w:val="24"/>
          <w:szCs w:val="24"/>
        </w:rPr>
        <w:t xml:space="preserve">, sendo certo que acarretará aumento de despesas, motivo pelo qual se faz necessário o acompanhamento dos anexos fiscais previstos no artigo 16 da LRF: </w:t>
      </w:r>
    </w:p>
    <w:p w14:paraId="7B36C61F" w14:textId="77777777" w:rsidR="00006524" w:rsidRPr="00006524" w:rsidRDefault="00006524" w:rsidP="00006524">
      <w:pPr>
        <w:spacing w:after="0" w:line="360" w:lineRule="auto"/>
        <w:ind w:firstLine="1701"/>
        <w:jc w:val="both"/>
        <w:rPr>
          <w:rFonts w:ascii="Times New Roman" w:hAnsi="Times New Roman" w:cs="Times New Roman"/>
          <w:b/>
          <w:bCs/>
          <w:sz w:val="24"/>
          <w:szCs w:val="24"/>
        </w:rPr>
      </w:pPr>
      <w:r w:rsidRPr="00006524">
        <w:rPr>
          <w:rFonts w:ascii="Times New Roman" w:hAnsi="Times New Roman" w:cs="Times New Roman"/>
          <w:b/>
          <w:bCs/>
          <w:sz w:val="24"/>
          <w:szCs w:val="24"/>
        </w:rPr>
        <w:lastRenderedPageBreak/>
        <w:t xml:space="preserve">Lei de Responsabilidade Fiscal (LC nº. 101/2000) </w:t>
      </w:r>
    </w:p>
    <w:p w14:paraId="69E8386D" w14:textId="77777777" w:rsidR="00006524" w:rsidRDefault="00006524" w:rsidP="00D10694">
      <w:pPr>
        <w:spacing w:after="0" w:line="360" w:lineRule="auto"/>
        <w:jc w:val="both"/>
        <w:rPr>
          <w:rFonts w:ascii="Times New Roman" w:hAnsi="Times New Roman" w:cs="Times New Roman"/>
          <w:sz w:val="24"/>
          <w:szCs w:val="24"/>
        </w:rPr>
      </w:pPr>
    </w:p>
    <w:p w14:paraId="2AEA696C" w14:textId="77777777" w:rsidR="00006524" w:rsidRDefault="00006524" w:rsidP="00006524">
      <w:pPr>
        <w:spacing w:after="0" w:line="360" w:lineRule="auto"/>
        <w:ind w:left="1701"/>
        <w:jc w:val="both"/>
        <w:rPr>
          <w:rFonts w:ascii="Times New Roman" w:hAnsi="Times New Roman" w:cs="Times New Roman"/>
          <w:sz w:val="24"/>
          <w:szCs w:val="24"/>
        </w:rPr>
      </w:pPr>
      <w:r w:rsidRPr="00006524">
        <w:rPr>
          <w:rFonts w:ascii="Times New Roman" w:hAnsi="Times New Roman" w:cs="Times New Roman"/>
          <w:sz w:val="24"/>
          <w:szCs w:val="24"/>
        </w:rPr>
        <w:t xml:space="preserve">Art. 16. A criação, expansão ou aperfeiçoamento de ação governamental que acarrete aumento da despesa será acompanhado de: </w:t>
      </w:r>
    </w:p>
    <w:p w14:paraId="57C37747" w14:textId="77777777" w:rsidR="00006524" w:rsidRDefault="00006524" w:rsidP="00006524">
      <w:pPr>
        <w:spacing w:after="0" w:line="360" w:lineRule="auto"/>
        <w:ind w:left="1701"/>
        <w:jc w:val="both"/>
        <w:rPr>
          <w:rFonts w:ascii="Times New Roman" w:hAnsi="Times New Roman" w:cs="Times New Roman"/>
          <w:sz w:val="24"/>
          <w:szCs w:val="24"/>
        </w:rPr>
      </w:pPr>
    </w:p>
    <w:p w14:paraId="72075412" w14:textId="77777777" w:rsidR="00006524" w:rsidRDefault="00006524" w:rsidP="00006524">
      <w:pPr>
        <w:spacing w:after="0" w:line="360" w:lineRule="auto"/>
        <w:ind w:left="1701"/>
        <w:jc w:val="both"/>
        <w:rPr>
          <w:rFonts w:ascii="Times New Roman" w:hAnsi="Times New Roman" w:cs="Times New Roman"/>
          <w:sz w:val="24"/>
          <w:szCs w:val="24"/>
        </w:rPr>
      </w:pPr>
      <w:r w:rsidRPr="00006524">
        <w:rPr>
          <w:rFonts w:ascii="Times New Roman" w:hAnsi="Times New Roman" w:cs="Times New Roman"/>
          <w:sz w:val="24"/>
          <w:szCs w:val="24"/>
        </w:rPr>
        <w:t xml:space="preserve">I - estimativa do impacto orçamentário-financeiro no exercício em que deva entrar em vigor e nos dois </w:t>
      </w:r>
      <w:proofErr w:type="spellStart"/>
      <w:r w:rsidRPr="00006524">
        <w:rPr>
          <w:rFonts w:ascii="Times New Roman" w:hAnsi="Times New Roman" w:cs="Times New Roman"/>
          <w:sz w:val="24"/>
          <w:szCs w:val="24"/>
        </w:rPr>
        <w:t>subseqüentes</w:t>
      </w:r>
      <w:proofErr w:type="spellEnd"/>
      <w:r w:rsidRPr="00006524">
        <w:rPr>
          <w:rFonts w:ascii="Times New Roman" w:hAnsi="Times New Roman" w:cs="Times New Roman"/>
          <w:sz w:val="24"/>
          <w:szCs w:val="24"/>
        </w:rPr>
        <w:t xml:space="preserve">; </w:t>
      </w:r>
    </w:p>
    <w:p w14:paraId="23C94DAE" w14:textId="77777777" w:rsidR="00006524" w:rsidRDefault="00006524" w:rsidP="00006524">
      <w:pPr>
        <w:spacing w:after="0" w:line="360" w:lineRule="auto"/>
        <w:ind w:left="1701"/>
        <w:jc w:val="both"/>
        <w:rPr>
          <w:rFonts w:ascii="Times New Roman" w:hAnsi="Times New Roman" w:cs="Times New Roman"/>
          <w:sz w:val="24"/>
          <w:szCs w:val="24"/>
        </w:rPr>
      </w:pPr>
    </w:p>
    <w:p w14:paraId="56AC5698" w14:textId="00C3C91F" w:rsidR="00BE631F" w:rsidRDefault="00006524" w:rsidP="00006524">
      <w:pPr>
        <w:spacing w:after="0" w:line="360" w:lineRule="auto"/>
        <w:ind w:left="1701"/>
        <w:jc w:val="both"/>
        <w:rPr>
          <w:rFonts w:ascii="Times New Roman" w:hAnsi="Times New Roman" w:cs="Times New Roman"/>
          <w:sz w:val="24"/>
          <w:szCs w:val="24"/>
        </w:rPr>
      </w:pPr>
      <w:r w:rsidRPr="00006524">
        <w:rPr>
          <w:rFonts w:ascii="Times New Roman" w:hAnsi="Times New Roman" w:cs="Times New Roman"/>
          <w:sz w:val="24"/>
          <w:szCs w:val="24"/>
        </w:rPr>
        <w:t>II - declaração do ordenador da despesa de que o aumento tem adequação orçamentária e financeira com a lei orçamentária anual e compatibilidade com o plano plurianual e com a lei de diretrizes orçamentárias.</w:t>
      </w:r>
    </w:p>
    <w:p w14:paraId="5D595EFC" w14:textId="77777777" w:rsidR="00006524" w:rsidRDefault="00006524" w:rsidP="00006524">
      <w:pPr>
        <w:spacing w:after="0" w:line="360" w:lineRule="auto"/>
        <w:ind w:left="1701"/>
        <w:jc w:val="both"/>
        <w:rPr>
          <w:rFonts w:ascii="Times New Roman" w:hAnsi="Times New Roman" w:cs="Times New Roman"/>
          <w:sz w:val="24"/>
          <w:szCs w:val="24"/>
        </w:rPr>
      </w:pPr>
    </w:p>
    <w:p w14:paraId="66397592" w14:textId="7C73A60E" w:rsidR="00006524" w:rsidRDefault="00006524" w:rsidP="00006524">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Verifica-se que o Executivo Municipal encaminhou juntamente com o projeto aqui analisado, a estimativa de impacto orçamentário-financeiro conforme exigido pelo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16 da LRF.</w:t>
      </w:r>
    </w:p>
    <w:p w14:paraId="6AC47773" w14:textId="77777777" w:rsidR="00006524" w:rsidRPr="002C7EA2" w:rsidRDefault="00006524" w:rsidP="00006524">
      <w:pPr>
        <w:spacing w:after="0" w:line="360" w:lineRule="auto"/>
        <w:ind w:left="1701"/>
        <w:jc w:val="both"/>
        <w:rPr>
          <w:rFonts w:ascii="Times New Roman" w:hAnsi="Times New Roman" w:cs="Times New Roman"/>
          <w:sz w:val="24"/>
          <w:szCs w:val="24"/>
        </w:rPr>
      </w:pPr>
    </w:p>
    <w:p w14:paraId="4668C254" w14:textId="77777777" w:rsidR="00A16946" w:rsidRPr="002C7EA2" w:rsidRDefault="00A16946" w:rsidP="00BE631F">
      <w:pPr>
        <w:spacing w:after="0" w:line="360" w:lineRule="auto"/>
        <w:ind w:left="3402"/>
        <w:jc w:val="both"/>
        <w:rPr>
          <w:rFonts w:ascii="Times New Roman" w:hAnsi="Times New Roman" w:cs="Times New Roman"/>
          <w:sz w:val="24"/>
          <w:szCs w:val="24"/>
        </w:rPr>
      </w:pPr>
    </w:p>
    <w:p w14:paraId="376E6930" w14:textId="41100910" w:rsidR="006C7AFD" w:rsidRPr="00D10694" w:rsidRDefault="00D10694" w:rsidP="00D10694">
      <w:pPr>
        <w:pStyle w:val="PargrafodaLista"/>
        <w:numPr>
          <w:ilvl w:val="0"/>
          <w:numId w:val="1"/>
        </w:numPr>
        <w:spacing w:line="360" w:lineRule="auto"/>
        <w:jc w:val="both"/>
        <w:rPr>
          <w:rFonts w:ascii="Times New Roman" w:hAnsi="Times New Roman" w:cs="Times New Roman"/>
          <w:b/>
          <w:sz w:val="24"/>
          <w:szCs w:val="24"/>
        </w:rPr>
      </w:pPr>
      <w:r w:rsidRPr="00D10694">
        <w:rPr>
          <w:rFonts w:ascii="Times New Roman" w:hAnsi="Times New Roman" w:cs="Times New Roman"/>
          <w:b/>
          <w:sz w:val="24"/>
          <w:szCs w:val="24"/>
        </w:rPr>
        <w:t xml:space="preserve"> </w:t>
      </w:r>
      <w:r w:rsidR="006C7AFD" w:rsidRPr="00D10694">
        <w:rPr>
          <w:rFonts w:ascii="Times New Roman" w:hAnsi="Times New Roman" w:cs="Times New Roman"/>
          <w:b/>
          <w:sz w:val="24"/>
          <w:szCs w:val="24"/>
        </w:rPr>
        <w:t>CONCLUSÃO</w:t>
      </w:r>
    </w:p>
    <w:p w14:paraId="15EE6831" w14:textId="77777777" w:rsidR="00A16946" w:rsidRDefault="00A16946" w:rsidP="00D10694">
      <w:pPr>
        <w:tabs>
          <w:tab w:val="left" w:pos="2835"/>
        </w:tabs>
        <w:spacing w:line="360" w:lineRule="auto"/>
        <w:ind w:firstLine="1701"/>
        <w:jc w:val="both"/>
        <w:rPr>
          <w:rFonts w:ascii="Times New Roman" w:hAnsi="Times New Roman" w:cs="Times New Roman"/>
          <w:sz w:val="24"/>
          <w:szCs w:val="24"/>
        </w:rPr>
      </w:pPr>
    </w:p>
    <w:p w14:paraId="1ECFF720" w14:textId="3BF3E03D" w:rsidR="00D10694" w:rsidRDefault="004C354C" w:rsidP="00D10694">
      <w:pPr>
        <w:tabs>
          <w:tab w:val="left" w:pos="2835"/>
        </w:tabs>
        <w:spacing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Ante o exposto,</w:t>
      </w:r>
      <w:r w:rsidRPr="002C7EA2">
        <w:rPr>
          <w:rFonts w:ascii="Times New Roman" w:hAnsi="Times New Roman" w:cs="Times New Roman"/>
          <w:b/>
          <w:sz w:val="24"/>
          <w:szCs w:val="24"/>
        </w:rPr>
        <w:t xml:space="preserve"> </w:t>
      </w:r>
      <w:r w:rsidR="00006524">
        <w:rPr>
          <w:rFonts w:ascii="Times New Roman" w:hAnsi="Times New Roman" w:cs="Times New Roman"/>
          <w:bCs/>
          <w:sz w:val="24"/>
          <w:szCs w:val="24"/>
        </w:rPr>
        <w:t xml:space="preserve">do ponto de vista de constitucionalidade, juridicidade e boa técnica legislativa, esta Procuradoria Jurídica </w:t>
      </w:r>
      <w:r w:rsidR="00006524" w:rsidRPr="00A16946">
        <w:rPr>
          <w:rFonts w:ascii="Times New Roman" w:hAnsi="Times New Roman" w:cs="Times New Roman"/>
          <w:bCs/>
          <w:i/>
          <w:iCs/>
          <w:sz w:val="24"/>
          <w:szCs w:val="24"/>
        </w:rPr>
        <w:t>OPINA s.m.j.</w:t>
      </w:r>
      <w:r w:rsidR="00006524">
        <w:rPr>
          <w:rFonts w:ascii="Times New Roman" w:hAnsi="Times New Roman" w:cs="Times New Roman"/>
          <w:bCs/>
          <w:sz w:val="24"/>
          <w:szCs w:val="24"/>
        </w:rPr>
        <w:t xml:space="preserve"> pela viabilidade técnica do Projeto de Lei Complementar 001/2025. </w:t>
      </w:r>
    </w:p>
    <w:p w14:paraId="08E2C174" w14:textId="7510C12E" w:rsidR="004C354C" w:rsidRPr="002C7EA2" w:rsidRDefault="004C354C" w:rsidP="00D10694">
      <w:pPr>
        <w:tabs>
          <w:tab w:val="left" w:pos="2835"/>
        </w:tabs>
        <w:spacing w:line="360" w:lineRule="auto"/>
        <w:ind w:firstLine="1701"/>
        <w:jc w:val="both"/>
        <w:rPr>
          <w:rFonts w:ascii="Times New Roman" w:hAnsi="Times New Roman" w:cs="Times New Roman"/>
          <w:sz w:val="24"/>
          <w:szCs w:val="24"/>
        </w:rPr>
      </w:pPr>
      <w:r w:rsidRPr="002C7EA2">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14:paraId="7E243ED4" w14:textId="77777777" w:rsidR="00F623A4" w:rsidRDefault="00F623A4" w:rsidP="00F623A4">
      <w:pPr>
        <w:spacing w:after="0" w:line="360" w:lineRule="auto"/>
        <w:jc w:val="both"/>
        <w:rPr>
          <w:rFonts w:ascii="Times New Roman" w:hAnsi="Times New Roman" w:cs="Times New Roman"/>
          <w:sz w:val="24"/>
          <w:szCs w:val="24"/>
        </w:rPr>
      </w:pPr>
    </w:p>
    <w:p w14:paraId="4E41999B" w14:textId="382C006C" w:rsidR="00077D98" w:rsidRPr="002C7EA2" w:rsidRDefault="00BE2979" w:rsidP="00104E49">
      <w:pPr>
        <w:spacing w:line="360" w:lineRule="auto"/>
        <w:jc w:val="both"/>
        <w:rPr>
          <w:rFonts w:ascii="Times New Roman" w:hAnsi="Times New Roman" w:cs="Times New Roman"/>
          <w:sz w:val="24"/>
          <w:szCs w:val="24"/>
        </w:rPr>
      </w:pPr>
      <w:r w:rsidRPr="002C7EA2">
        <w:rPr>
          <w:rFonts w:ascii="Times New Roman" w:hAnsi="Times New Roman" w:cs="Times New Roman"/>
          <w:sz w:val="24"/>
          <w:szCs w:val="24"/>
        </w:rPr>
        <w:t xml:space="preserve">Vera, </w:t>
      </w:r>
      <w:r w:rsidR="00D10694">
        <w:rPr>
          <w:rFonts w:ascii="Times New Roman" w:hAnsi="Times New Roman" w:cs="Times New Roman"/>
          <w:sz w:val="24"/>
          <w:szCs w:val="24"/>
        </w:rPr>
        <w:t>2</w:t>
      </w:r>
      <w:r w:rsidR="00006524">
        <w:rPr>
          <w:rFonts w:ascii="Times New Roman" w:hAnsi="Times New Roman" w:cs="Times New Roman"/>
          <w:sz w:val="24"/>
          <w:szCs w:val="24"/>
        </w:rPr>
        <w:t>1</w:t>
      </w:r>
      <w:r w:rsidRPr="002C7EA2">
        <w:rPr>
          <w:rFonts w:ascii="Times New Roman" w:hAnsi="Times New Roman" w:cs="Times New Roman"/>
          <w:sz w:val="24"/>
          <w:szCs w:val="24"/>
        </w:rPr>
        <w:t xml:space="preserve"> de </w:t>
      </w:r>
      <w:r w:rsidR="00006524">
        <w:rPr>
          <w:rFonts w:ascii="Times New Roman" w:hAnsi="Times New Roman" w:cs="Times New Roman"/>
          <w:sz w:val="24"/>
          <w:szCs w:val="24"/>
        </w:rPr>
        <w:t>fevereiro</w:t>
      </w:r>
      <w:r w:rsidR="006C7AFD" w:rsidRPr="002C7EA2">
        <w:rPr>
          <w:rFonts w:ascii="Times New Roman" w:hAnsi="Times New Roman" w:cs="Times New Roman"/>
          <w:sz w:val="24"/>
          <w:szCs w:val="24"/>
        </w:rPr>
        <w:t xml:space="preserve"> de 202</w:t>
      </w:r>
      <w:r w:rsidR="00006524">
        <w:rPr>
          <w:rFonts w:ascii="Times New Roman" w:hAnsi="Times New Roman" w:cs="Times New Roman"/>
          <w:sz w:val="24"/>
          <w:szCs w:val="24"/>
        </w:rPr>
        <w:t>5</w:t>
      </w:r>
      <w:r w:rsidR="00D10694">
        <w:rPr>
          <w:rFonts w:ascii="Times New Roman" w:hAnsi="Times New Roman" w:cs="Times New Roman"/>
          <w:sz w:val="24"/>
          <w:szCs w:val="24"/>
        </w:rPr>
        <w:t>.</w:t>
      </w:r>
    </w:p>
    <w:p w14:paraId="141F7E25" w14:textId="25329D24" w:rsidR="00006524" w:rsidRPr="00006524" w:rsidRDefault="0074162D" w:rsidP="00006524">
      <w:pPr>
        <w:spacing w:after="0"/>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w:t>
      </w:r>
      <w:r w:rsidR="00006524" w:rsidRPr="00006524">
        <w:rPr>
          <w:rFonts w:ascii="Times New Roman" w:eastAsia="Times New Roman" w:hAnsi="Times New Roman" w:cs="Times New Roman"/>
          <w:b/>
          <w:bCs/>
          <w:sz w:val="24"/>
          <w:szCs w:val="24"/>
          <w:lang w:eastAsia="pt-BR"/>
        </w:rPr>
        <w:t>LEXSANDRO DE FARIAS</w:t>
      </w:r>
    </w:p>
    <w:p w14:paraId="173714BB" w14:textId="77777777" w:rsidR="00006524" w:rsidRPr="00006524" w:rsidRDefault="00006524" w:rsidP="00006524">
      <w:pPr>
        <w:spacing w:after="0"/>
        <w:jc w:val="center"/>
        <w:rPr>
          <w:rFonts w:ascii="Times New Roman" w:eastAsia="Times New Roman" w:hAnsi="Times New Roman" w:cs="Times New Roman"/>
          <w:b/>
          <w:bCs/>
          <w:sz w:val="24"/>
          <w:szCs w:val="24"/>
          <w:lang w:eastAsia="pt-BR"/>
        </w:rPr>
      </w:pPr>
      <w:r w:rsidRPr="00006524">
        <w:rPr>
          <w:rFonts w:ascii="Times New Roman" w:eastAsia="Times New Roman" w:hAnsi="Times New Roman" w:cs="Times New Roman"/>
          <w:b/>
          <w:bCs/>
          <w:sz w:val="24"/>
          <w:szCs w:val="24"/>
          <w:lang w:eastAsia="pt-BR"/>
        </w:rPr>
        <w:t>ASSESSOR JURÍDICO</w:t>
      </w:r>
    </w:p>
    <w:p w14:paraId="7053BB18" w14:textId="21C32AEC" w:rsidR="00F623A4" w:rsidRPr="0074162D" w:rsidRDefault="00006524" w:rsidP="0074162D">
      <w:pPr>
        <w:spacing w:after="0"/>
        <w:jc w:val="center"/>
        <w:rPr>
          <w:rFonts w:ascii="Times New Roman" w:eastAsia="Times New Roman" w:hAnsi="Times New Roman" w:cs="Times New Roman"/>
          <w:b/>
          <w:bCs/>
          <w:sz w:val="24"/>
          <w:szCs w:val="24"/>
          <w:lang w:eastAsia="pt-BR"/>
        </w:rPr>
      </w:pPr>
      <w:r w:rsidRPr="00006524">
        <w:rPr>
          <w:rFonts w:ascii="Times New Roman" w:eastAsia="Times New Roman" w:hAnsi="Times New Roman" w:cs="Times New Roman"/>
          <w:b/>
          <w:bCs/>
          <w:sz w:val="24"/>
          <w:szCs w:val="24"/>
          <w:lang w:eastAsia="pt-BR"/>
        </w:rPr>
        <w:t>OAB/MT 24.871/O</w:t>
      </w:r>
    </w:p>
    <w:sectPr w:rsidR="00F623A4" w:rsidRPr="0074162D" w:rsidSect="00E3401A">
      <w:pgSz w:w="11906" w:h="16838"/>
      <w:pgMar w:top="1985" w:right="1134" w:bottom="170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A5C9" w14:textId="77777777" w:rsidR="009E0321" w:rsidRDefault="009E0321" w:rsidP="00895F51">
      <w:pPr>
        <w:spacing w:after="0" w:line="240" w:lineRule="auto"/>
      </w:pPr>
      <w:r>
        <w:separator/>
      </w:r>
    </w:p>
  </w:endnote>
  <w:endnote w:type="continuationSeparator" w:id="0">
    <w:p w14:paraId="40CD2E86" w14:textId="77777777" w:rsidR="009E0321" w:rsidRDefault="009E0321"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9C1D" w14:textId="77777777" w:rsidR="009E0321" w:rsidRDefault="009E0321" w:rsidP="00895F51">
      <w:pPr>
        <w:spacing w:after="0" w:line="240" w:lineRule="auto"/>
      </w:pPr>
      <w:r>
        <w:separator/>
      </w:r>
    </w:p>
  </w:footnote>
  <w:footnote w:type="continuationSeparator" w:id="0">
    <w:p w14:paraId="2AC04DCD" w14:textId="77777777" w:rsidR="009E0321" w:rsidRDefault="009E0321"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353F"/>
    <w:multiLevelType w:val="hybridMultilevel"/>
    <w:tmpl w:val="BC7E9F8A"/>
    <w:lvl w:ilvl="0" w:tplc="4C641DE8">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 w15:restartNumberingAfterBreak="0">
    <w:nsid w:val="32843DAA"/>
    <w:multiLevelType w:val="hybridMultilevel"/>
    <w:tmpl w:val="6E66ACE6"/>
    <w:lvl w:ilvl="0" w:tplc="88F6D218">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363E2CB9"/>
    <w:multiLevelType w:val="hybridMultilevel"/>
    <w:tmpl w:val="ECC24CB6"/>
    <w:lvl w:ilvl="0" w:tplc="35E4F36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36C574E6"/>
    <w:multiLevelType w:val="hybridMultilevel"/>
    <w:tmpl w:val="E2E617FC"/>
    <w:lvl w:ilvl="0" w:tplc="548CEFBE">
      <w:start w:val="1"/>
      <w:numFmt w:val="lowerLetter"/>
      <w:lvlText w:val="%1)"/>
      <w:lvlJc w:val="left"/>
      <w:pPr>
        <w:ind w:left="3762" w:hanging="360"/>
      </w:pPr>
      <w:rPr>
        <w:rFonts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4" w15:restartNumberingAfterBreak="0">
    <w:nsid w:val="408D351B"/>
    <w:multiLevelType w:val="hybridMultilevel"/>
    <w:tmpl w:val="C99ABCFE"/>
    <w:lvl w:ilvl="0" w:tplc="56FA4BB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4A4220"/>
    <w:multiLevelType w:val="hybridMultilevel"/>
    <w:tmpl w:val="345AC2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976A4F"/>
    <w:multiLevelType w:val="hybridMultilevel"/>
    <w:tmpl w:val="7236F50C"/>
    <w:lvl w:ilvl="0" w:tplc="E3BE9444">
      <w:start w:val="1"/>
      <w:numFmt w:val="lowerLetter"/>
      <w:lvlText w:val="%1)"/>
      <w:lvlJc w:val="left"/>
      <w:pPr>
        <w:ind w:left="3762" w:hanging="360"/>
      </w:pPr>
      <w:rPr>
        <w:rFonts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8" w15:restartNumberingAfterBreak="0">
    <w:nsid w:val="759E741D"/>
    <w:multiLevelType w:val="hybridMultilevel"/>
    <w:tmpl w:val="1B7CB542"/>
    <w:lvl w:ilvl="0" w:tplc="A134F0B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7A527EAF"/>
    <w:multiLevelType w:val="hybridMultilevel"/>
    <w:tmpl w:val="2E50430A"/>
    <w:lvl w:ilvl="0" w:tplc="C7384B32">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num w:numId="1" w16cid:durableId="2035766556">
    <w:abstractNumId w:val="5"/>
  </w:num>
  <w:num w:numId="2" w16cid:durableId="1693528518">
    <w:abstractNumId w:val="0"/>
  </w:num>
  <w:num w:numId="3" w16cid:durableId="906036096">
    <w:abstractNumId w:val="6"/>
  </w:num>
  <w:num w:numId="4" w16cid:durableId="1484541123">
    <w:abstractNumId w:val="1"/>
  </w:num>
  <w:num w:numId="5" w16cid:durableId="901252190">
    <w:abstractNumId w:val="8"/>
  </w:num>
  <w:num w:numId="6" w16cid:durableId="754518825">
    <w:abstractNumId w:val="2"/>
  </w:num>
  <w:num w:numId="7" w16cid:durableId="1412392518">
    <w:abstractNumId w:val="4"/>
  </w:num>
  <w:num w:numId="8" w16cid:durableId="771703477">
    <w:abstractNumId w:val="9"/>
  </w:num>
  <w:num w:numId="9" w16cid:durableId="832989787">
    <w:abstractNumId w:val="7"/>
  </w:num>
  <w:num w:numId="10" w16cid:durableId="95390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06524"/>
    <w:rsid w:val="00012F0E"/>
    <w:rsid w:val="00031F70"/>
    <w:rsid w:val="00042354"/>
    <w:rsid w:val="00042CDB"/>
    <w:rsid w:val="00077D98"/>
    <w:rsid w:val="00077DD3"/>
    <w:rsid w:val="000936C1"/>
    <w:rsid w:val="00095756"/>
    <w:rsid w:val="000B5C8E"/>
    <w:rsid w:val="000D3192"/>
    <w:rsid w:val="000D7489"/>
    <w:rsid w:val="00104E49"/>
    <w:rsid w:val="00107839"/>
    <w:rsid w:val="0012564A"/>
    <w:rsid w:val="0013720E"/>
    <w:rsid w:val="00171E10"/>
    <w:rsid w:val="0018082D"/>
    <w:rsid w:val="001C0A35"/>
    <w:rsid w:val="001C1343"/>
    <w:rsid w:val="001C4076"/>
    <w:rsid w:val="001E7AFC"/>
    <w:rsid w:val="00250501"/>
    <w:rsid w:val="00257BB3"/>
    <w:rsid w:val="00257CEF"/>
    <w:rsid w:val="0026208E"/>
    <w:rsid w:val="00285696"/>
    <w:rsid w:val="002C7EA2"/>
    <w:rsid w:val="002D4EEA"/>
    <w:rsid w:val="002E766A"/>
    <w:rsid w:val="00303BBC"/>
    <w:rsid w:val="00306FBC"/>
    <w:rsid w:val="00370DC5"/>
    <w:rsid w:val="003A1AAC"/>
    <w:rsid w:val="003D121F"/>
    <w:rsid w:val="003E00AE"/>
    <w:rsid w:val="003E4C93"/>
    <w:rsid w:val="003E6504"/>
    <w:rsid w:val="003E79E6"/>
    <w:rsid w:val="003F6A61"/>
    <w:rsid w:val="004252D9"/>
    <w:rsid w:val="00473631"/>
    <w:rsid w:val="00485617"/>
    <w:rsid w:val="004908BD"/>
    <w:rsid w:val="004C354C"/>
    <w:rsid w:val="004E131C"/>
    <w:rsid w:val="004E6B17"/>
    <w:rsid w:val="004F2E52"/>
    <w:rsid w:val="00594210"/>
    <w:rsid w:val="005A250D"/>
    <w:rsid w:val="005B4AA7"/>
    <w:rsid w:val="005E14D8"/>
    <w:rsid w:val="005E4B52"/>
    <w:rsid w:val="006067DF"/>
    <w:rsid w:val="00640055"/>
    <w:rsid w:val="00670C90"/>
    <w:rsid w:val="006A4A7E"/>
    <w:rsid w:val="006A7F79"/>
    <w:rsid w:val="006B0BEC"/>
    <w:rsid w:val="006C7AFD"/>
    <w:rsid w:val="006E1518"/>
    <w:rsid w:val="006F05E8"/>
    <w:rsid w:val="0074162D"/>
    <w:rsid w:val="00761D1D"/>
    <w:rsid w:val="00773020"/>
    <w:rsid w:val="007822CA"/>
    <w:rsid w:val="0078696F"/>
    <w:rsid w:val="007A2112"/>
    <w:rsid w:val="007B70B3"/>
    <w:rsid w:val="007C06B8"/>
    <w:rsid w:val="007C458D"/>
    <w:rsid w:val="007E78F2"/>
    <w:rsid w:val="00812F89"/>
    <w:rsid w:val="00824368"/>
    <w:rsid w:val="00827200"/>
    <w:rsid w:val="008633E9"/>
    <w:rsid w:val="00895F51"/>
    <w:rsid w:val="008A7D4F"/>
    <w:rsid w:val="008E65AC"/>
    <w:rsid w:val="008F762C"/>
    <w:rsid w:val="00905599"/>
    <w:rsid w:val="00922590"/>
    <w:rsid w:val="00922746"/>
    <w:rsid w:val="00973DAB"/>
    <w:rsid w:val="009750EE"/>
    <w:rsid w:val="00982956"/>
    <w:rsid w:val="00982E9B"/>
    <w:rsid w:val="00994DB5"/>
    <w:rsid w:val="009A19E8"/>
    <w:rsid w:val="009A2FCD"/>
    <w:rsid w:val="009B626B"/>
    <w:rsid w:val="009E0321"/>
    <w:rsid w:val="00A04E1D"/>
    <w:rsid w:val="00A0507C"/>
    <w:rsid w:val="00A10400"/>
    <w:rsid w:val="00A12615"/>
    <w:rsid w:val="00A16946"/>
    <w:rsid w:val="00A202A9"/>
    <w:rsid w:val="00A408DE"/>
    <w:rsid w:val="00A43A63"/>
    <w:rsid w:val="00A80992"/>
    <w:rsid w:val="00A81B1B"/>
    <w:rsid w:val="00A85B29"/>
    <w:rsid w:val="00AA6435"/>
    <w:rsid w:val="00AA74C2"/>
    <w:rsid w:val="00AF0425"/>
    <w:rsid w:val="00AF3ECF"/>
    <w:rsid w:val="00B17F73"/>
    <w:rsid w:val="00B221A0"/>
    <w:rsid w:val="00B35D6D"/>
    <w:rsid w:val="00B5504F"/>
    <w:rsid w:val="00B6695C"/>
    <w:rsid w:val="00BA2899"/>
    <w:rsid w:val="00BA77A0"/>
    <w:rsid w:val="00BD522D"/>
    <w:rsid w:val="00BE2979"/>
    <w:rsid w:val="00BE631F"/>
    <w:rsid w:val="00BF35C6"/>
    <w:rsid w:val="00C10B5A"/>
    <w:rsid w:val="00C25B60"/>
    <w:rsid w:val="00C73F5D"/>
    <w:rsid w:val="00C838AB"/>
    <w:rsid w:val="00C855C0"/>
    <w:rsid w:val="00D10694"/>
    <w:rsid w:val="00D170CE"/>
    <w:rsid w:val="00D32B9B"/>
    <w:rsid w:val="00D37639"/>
    <w:rsid w:val="00D430E7"/>
    <w:rsid w:val="00DB6890"/>
    <w:rsid w:val="00DC1D73"/>
    <w:rsid w:val="00DF0937"/>
    <w:rsid w:val="00E11985"/>
    <w:rsid w:val="00E1660B"/>
    <w:rsid w:val="00E3401A"/>
    <w:rsid w:val="00E34FE1"/>
    <w:rsid w:val="00E46050"/>
    <w:rsid w:val="00E97FB4"/>
    <w:rsid w:val="00EA2822"/>
    <w:rsid w:val="00EB6E75"/>
    <w:rsid w:val="00ED2C69"/>
    <w:rsid w:val="00EF15CB"/>
    <w:rsid w:val="00F12858"/>
    <w:rsid w:val="00F140E1"/>
    <w:rsid w:val="00F151BD"/>
    <w:rsid w:val="00F4132F"/>
    <w:rsid w:val="00F603F1"/>
    <w:rsid w:val="00F623A4"/>
    <w:rsid w:val="00F70C6C"/>
    <w:rsid w:val="00FA5CD8"/>
    <w:rsid w:val="00FD47D9"/>
    <w:rsid w:val="00FE2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3F2"/>
  <w15:docId w15:val="{364D00CD-A5AF-42F6-9ADF-E7F30BEC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AA643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unhideWhenUsed/>
    <w:rsid w:val="008633E9"/>
    <w:rPr>
      <w:color w:val="0000FF" w:themeColor="hyperlink"/>
      <w:u w:val="single"/>
    </w:rPr>
  </w:style>
  <w:style w:type="character" w:styleId="MenoPendente">
    <w:name w:val="Unresolved Mention"/>
    <w:basedOn w:val="Fontepargpadro"/>
    <w:uiPriority w:val="99"/>
    <w:semiHidden/>
    <w:unhideWhenUsed/>
    <w:rsid w:val="008633E9"/>
    <w:rPr>
      <w:color w:val="605E5C"/>
      <w:shd w:val="clear" w:color="auto" w:fill="E1DFDD"/>
    </w:rPr>
  </w:style>
  <w:style w:type="character" w:customStyle="1" w:styleId="Ttulo2Char">
    <w:name w:val="Título 2 Char"/>
    <w:basedOn w:val="Fontepargpadro"/>
    <w:link w:val="Ttulo2"/>
    <w:uiPriority w:val="9"/>
    <w:rsid w:val="00AA6435"/>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7416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6100">
      <w:bodyDiv w:val="1"/>
      <w:marLeft w:val="0"/>
      <w:marRight w:val="0"/>
      <w:marTop w:val="0"/>
      <w:marBottom w:val="0"/>
      <w:divBdr>
        <w:top w:val="none" w:sz="0" w:space="0" w:color="auto"/>
        <w:left w:val="none" w:sz="0" w:space="0" w:color="auto"/>
        <w:bottom w:val="none" w:sz="0" w:space="0" w:color="auto"/>
        <w:right w:val="none" w:sz="0" w:space="0" w:color="auto"/>
      </w:divBdr>
    </w:div>
    <w:div w:id="1229343604">
      <w:bodyDiv w:val="1"/>
      <w:marLeft w:val="0"/>
      <w:marRight w:val="0"/>
      <w:marTop w:val="0"/>
      <w:marBottom w:val="0"/>
      <w:divBdr>
        <w:top w:val="none" w:sz="0" w:space="0" w:color="auto"/>
        <w:left w:val="none" w:sz="0" w:space="0" w:color="auto"/>
        <w:bottom w:val="none" w:sz="0" w:space="0" w:color="auto"/>
        <w:right w:val="none" w:sz="0" w:space="0" w:color="auto"/>
      </w:divBdr>
    </w:div>
    <w:div w:id="1573661855">
      <w:bodyDiv w:val="1"/>
      <w:marLeft w:val="0"/>
      <w:marRight w:val="0"/>
      <w:marTop w:val="0"/>
      <w:marBottom w:val="0"/>
      <w:divBdr>
        <w:top w:val="none" w:sz="0" w:space="0" w:color="auto"/>
        <w:left w:val="none" w:sz="0" w:space="0" w:color="auto"/>
        <w:bottom w:val="none" w:sz="0" w:space="0" w:color="auto"/>
        <w:right w:val="none" w:sz="0" w:space="0" w:color="auto"/>
      </w:divBdr>
    </w:div>
    <w:div w:id="1659382632">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9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C68F-C96A-4AC0-84C5-E08E772E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1135</Words>
  <Characters>6135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Recepção</dc:creator>
  <cp:lastModifiedBy>User</cp:lastModifiedBy>
  <cp:revision>5</cp:revision>
  <cp:lastPrinted>2020-04-07T15:02:00Z</cp:lastPrinted>
  <dcterms:created xsi:type="dcterms:W3CDTF">2025-02-18T13:36:00Z</dcterms:created>
  <dcterms:modified xsi:type="dcterms:W3CDTF">2025-02-21T15:27:00Z</dcterms:modified>
</cp:coreProperties>
</file>